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pBdr>
          <w:bottom w:val="single" w:color="111111" w:sz="10" w:space="4"/>
        </w:pBdr>
        <w:spacing w:before="80" w:after="120"/>
      </w:pPr>
    </w:p>
    <w:p>
      <w:pPr>
        <w:pStyle w:val="Heading1"/>
        <w:spacing w:before="12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Titre du Document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Sous-titre ou description du document</w:t>
      </w:r>
    </w:p>
    <w:p>
      <w:pPr>
        <w:pBdr>
          <w:bottom w:val="single" w:color="CCCCCC" w:sz="2" w:space="4"/>
        </w:pBdr>
        <w:spacing w:before="80" w:after="80"/>
      </w:pPr>
    </w:p>
    <w:p>
      <w:pPr>
        <w:spacing w:before="200" w:after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Auteur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Prénom Nom</w:t>
      </w:r>
      <w:r>
        <w:br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Date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Mars 2026</w:t>
      </w:r>
    </w:p>
    <w:p>
      <w:r>
        <w:br w:type="page"/>
      </w: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§ 1</w:t>
      </w:r>
    </w:p>
    <w:p>
      <w:pPr>
        <w:pStyle w:val="Heading1"/>
        <w:spacing w:before="120" w:after="200"/>
        <w:outlineLvl w:val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34"/>
          <w:szCs w:val="34"/>
        </w:rPr>
        <w:t xml:space="preserve">Introduction</w:t>
      </w:r>
    </w:p>
    <w:p>
      <w:pPr>
        <w:pBdr>
          <w:bottom w:val="single" w:color="CCCCCC" w:sz="2" w:space="4"/>
        </w:pBdr>
        <w:spacing w:before="80" w:after="80"/>
      </w:pPr>
    </w:p>
    <w:p>
      <w:pPr>
        <w:pStyle w:val="bodyText"/>
        <w:spacing w:line="360" w:before="0"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Corps du texte justifié en Times New Roman 11 pt. Les marges de 28 mm laissent de l'espace pour les annotations.</w:t>
      </w:r>
    </w:p>
    <w:p>
      <w:pPr>
        <w:pStyle w:val="bodyText"/>
        <w:spacing w:line="360" w:before="0"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Les variables sont composées en italique : soit f : ℝⁿ → ℝ une fonction de classe C¹, et ||x|| la norme euclidienne de x ∈ ℝⁿ.</w:t>
      </w:r>
    </w:p>
    <w:p>
      <w:r>
        <w:br w:type="page"/>
      </w: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§ 2</w:t>
      </w:r>
    </w:p>
    <w:p>
      <w:pPr>
        <w:pStyle w:val="Heading1"/>
        <w:spacing w:before="120" w:after="200"/>
        <w:outlineLvl w:val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34"/>
          <w:szCs w:val="34"/>
        </w:rPr>
        <w:t xml:space="preserve">Environnements mathématiques</w:t>
      </w:r>
    </w:p>
    <w:p>
      <w:pPr>
        <w:pBdr>
          <w:bottom w:val="single" w:color="CCCCCC" w:sz="2" w:space="4"/>
        </w:pBdr>
        <w:spacing w:before="80" w:after="80"/>
      </w:pPr>
    </w:p>
    <w:p>
      <w:pPr>
        <w:pStyle w:val="bodyText"/>
        <w:spacing w:line="360" w:before="0"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Tous les environnements sont numérotés par section (ex. : Théorème 2.1, Exemple 2.1). Le compteur Définition/Théorème/Proposition/Lemme/Corollaire est partagé. Exemple et Remarque ont leur propre compteur. Exercice est numéroté indépendamment.</w:t>
      </w: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§ 2.1</w:t>
      </w:r>
    </w:p>
    <w:p>
      <w:pPr>
        <w:pStyle w:val="Heading2"/>
        <w:spacing w:before="360" w:after="120"/>
        <w:outlineLvl w:val="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Définitions et théorèmes</w:t>
      </w: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Définition 2.1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Convergence uniforme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Une suite de fonctions (fₙ) converge uniformément vers f sur A ⊂ ℝ si pour tout ε &gt; 0, il existe N ∈ ℕ tel que pour tout n ≥ N et tout x ∈ A, |fₙ(x) − f(x)| &lt; ε.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Théorème 2.2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Borne inférieure du tri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Tout algorithme de tri par comparaison requiert Ω(n log n) comparaisons dans le pire cas.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spacing w:before="0"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11111"/>
          <w:sz w:val="20"/>
          <w:szCs w:val="20"/>
        </w:rPr>
        <w:t xml:space="preserve">Démonstration. 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L'arbre de décision sur n éléments possède au moins n! feuilles, donc une hauteur au moins log₂(n!) = Ω(n log n). ■</w:t>
      </w:r>
    </w:p>
    <w:p>
      <w:pPr>
        <w:spacing w:before="4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Proposition 2.3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Critère de Cauchy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Une suite (uₙ) converge dans ℝ si et seulement si elle est de Cauchy : ∀ε &gt; 0, ∃N, ∀p,q ≥ N, |uₚ − u_q| &lt; ε.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Lemme 2.4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Sous-suite extraite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Toute suite convergente est de Cauchy. La réciproque est vraie dans ℝ mais fausse dans ℚ.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Corollaire 2.5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Toute série absolument convergente est convergente dans ℝ.</w:t>
            </w:r>
          </w:p>
        </w:tc>
      </w:tr>
    </w:tbl>
    <w:p>
      <w:pPr>
        <w:spacing w:before="80" w:after="0"/>
      </w:pP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§ 2.2</w:t>
      </w:r>
    </w:p>
    <w:p>
      <w:pPr>
        <w:pStyle w:val="Heading2"/>
        <w:spacing w:before="360" w:after="120"/>
        <w:outlineLvl w:val="1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Exemples et remarques</w:t>
      </w: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Exemple 2.1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Suite géométrique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 suite uₙ = rⁿ converge vers 0 si |r| &lt; 1, vers 1 si r = 1, et diverge sinon. Pour r = 0.9, on a u₁₀₀ ≈ 2.656 × 10⁻⁵.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Exemple 2.2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Algorithme KMP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L'algorithme de Knuth–Morris–Pratt recherche un motif de longueur m dans un texte de longueur n en O(n + m), en prétraitant le tableau lps (longest proper prefix-suffix) du motif.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Remarque 2.3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La convergence uniforme implique la convergence simple, mais la réciproque est fausse. La suite fₙ(x) = xⁿ sur [0,1] converge simplement mais non uniformément.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§ 3</w:t>
      </w:r>
    </w:p>
    <w:p>
      <w:pPr>
        <w:pStyle w:val="Heading1"/>
        <w:spacing w:before="120" w:after="200"/>
        <w:outlineLvl w:val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34"/>
          <w:szCs w:val="34"/>
        </w:rPr>
        <w:t xml:space="preserve">Exercices et corrections</w:t>
      </w:r>
    </w:p>
    <w:p>
      <w:pPr>
        <w:pBdr>
          <w:bottom w:val="single" w:color="CCCCCC" w:sz="2" w:space="4"/>
        </w:pBdr>
        <w:spacing w:before="80" w:after="80"/>
      </w:pPr>
    </w:p>
    <w:p>
      <w:pPr>
        <w:spacing w:before="160" w:after="0"/>
      </w:pPr>
    </w:p>
    <w:tbl>
      <w:tblPr>
        <w:tblW w:type="dxa" w:w="9360"/>
        <w:tblBorders>
          <w:top w:val="single" w:color="111111" w:sz="2"/>
          <w:left w:val="single" w:color="111111" w:sz="2"/>
          <w:bottom w:val="single" w:color="111111" w:sz="2"/>
          <w:right w:val="single" w:color="11111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Exercice 3.1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Convergence uniforme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Montrer que la suite fₙ(x) = x / (1 + nx²) converge uniformément vers 0 sur ℝ.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Correction 3.1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Par l'inégalité AM-GM, 1 + nx² ≥ 2√n |x|, donc |fₙ(x)| ≤ 1/(2√n) → 0 uniformément.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single" w:color="111111" w:sz="2"/>
          <w:left w:val="single" w:color="111111" w:sz="2"/>
          <w:bottom w:val="single" w:color="111111" w:sz="2"/>
          <w:right w:val="single" w:color="11111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Exercice 3.2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Tri par fusion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Établir la récurrence T(n) = 2T(n/2) + Θ(n) du tri par fusion et en déduire T(n) = Θ(n log n) par le théorème maître.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Correction 3.2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L'appel récursif sur deux moitiés donne 2T(n/2) ; la fusion coûte Θ(n). Le théorème maître (cas 2) donne directement T(n) = Θ(n log n).</w:t>
            </w:r>
          </w:p>
        </w:tc>
      </w:tr>
    </w:tbl>
    <w:p>
      <w:pPr>
        <w:spacing w:before="80" w:after="0"/>
      </w:pPr>
    </w:p>
    <w:p>
      <w:pPr>
        <w:spacing w:before="160" w:after="0"/>
      </w:pPr>
    </w:p>
    <w:tbl>
      <w:tblPr>
        <w:tblW w:type="dxa" w:w="9360"/>
        <w:tblBorders>
          <w:top w:val="single" w:color="111111" w:sz="2"/>
          <w:left w:val="single" w:color="111111" w:sz="2"/>
          <w:bottom w:val="single" w:color="111111" w:sz="2"/>
          <w:right w:val="single" w:color="11111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Exercice 3.3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 — Inégalité de Jensen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 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0" w:after="60" w:line="3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Soit φ : ℝ → ℝ convexe et X une variable aléatoire intégrable. Démontrer que φ(𝔼[X]) ≤ 𝔼[φ(X)].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§ 4</w:t>
      </w:r>
    </w:p>
    <w:p>
      <w:pPr>
        <w:pStyle w:val="Heading1"/>
        <w:spacing w:before="120" w:after="200"/>
        <w:outlineLvl w:val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34"/>
          <w:szCs w:val="34"/>
        </w:rPr>
        <w:t xml:space="preserve">Code et tableaux</w:t>
      </w:r>
    </w:p>
    <w:p>
      <w:pPr>
        <w:pBdr>
          <w:bottom w:val="single" w:color="CCCCCC" w:sz="2" w:space="4"/>
        </w:pBdr>
        <w:spacing w:before="80" w:after="80"/>
      </w:pPr>
    </w:p>
    <w:p>
      <w:pPr>
        <w:pStyle w:val="bodyText"/>
        <w:spacing w:line="360" w:before="0"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Les blocs de code sont composés en Courier New 9 pt sur fond #F5F5F5 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 compute_lps(pattern):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m, lps = len(pattern), [0] * len(pattern)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length = 0; i = 1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while i &lt; m: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    if pattern[i] == pattern[length]: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        length += 1; lps[i] = length; i += 1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    elif length != 0: length = lps[length - 1]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    else: lps[i] = 0; i += 1</w:t>
            </w:r>
          </w:p>
        </w:tc>
      </w:tr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    return lps</w:t>
            </w:r>
          </w:p>
        </w:tc>
      </w:tr>
    </w:tbl>
    <w:p>
      <w:pPr>
        <w:spacing w:before="60" w:after="2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7"/>
          <w:szCs w:val="17"/>
        </w:rPr>
        <w:t xml:space="preserve">Algorithme 4.1 — Calcul du tableau lps (Knuth–Morris–Pratt).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Algorithme</w:t>
            </w:r>
          </w:p>
        </w:tc>
        <w:tc>
          <w:tcPr>
            <w:tcW w:type="dxa" w:w="1872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Meilleur</w:t>
            </w:r>
          </w:p>
        </w:tc>
        <w:tc>
          <w:tcPr>
            <w:tcW w:type="dxa" w:w="1872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Moyen</w:t>
            </w:r>
          </w:p>
        </w:tc>
        <w:tc>
          <w:tcPr>
            <w:tcW w:type="dxa" w:w="1872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Pire cas</w:t>
            </w:r>
          </w:p>
        </w:tc>
        <w:tc>
          <w:tcPr>
            <w:tcW w:type="dxa" w:w="1872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Mémoire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Insertion sort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O(n²)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O(n²)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Mergesort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Quicksort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O(n²)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O(log n)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Heapsort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O(1)</w:t>
            </w:r>
          </w:p>
        </w:tc>
      </w:tr>
    </w:tbl>
    <w:p>
      <w:pPr>
        <w:spacing w:before="60" w:after="2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7"/>
          <w:szCs w:val="17"/>
        </w:rPr>
        <w:t xml:space="preserve">Table 4.1 — Complexités des algorithmes de tri.</w:t>
      </w:r>
    </w:p>
    <w:p>
      <w:r>
        <w:br w:type="page"/>
      </w:r>
    </w:p>
    <w:p>
      <w:pPr>
        <w:spacing w:before="320" w:after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16"/>
          <w:szCs w:val="16"/>
        </w:rPr>
        <w:t xml:space="preserve">Références</w:t>
      </w:r>
    </w:p>
    <w:p>
      <w:pPr>
        <w:pStyle w:val="Heading1"/>
        <w:spacing w:before="120" w:after="200"/>
        <w:outlineLvl w:val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34"/>
          <w:szCs w:val="34"/>
        </w:rPr>
        <w:t xml:space="preserve">Références</w:t>
      </w:r>
    </w:p>
    <w:p>
      <w:pPr>
        <w:pBdr>
          <w:bottom w:val="single" w:color="CCCCCC" w:sz="2" w:space="4"/>
        </w:pBdr>
        <w:spacing w:before="80" w:after="80"/>
      </w:pPr>
    </w:p>
    <w:p>
      <w:pPr>
        <w:spacing w:before="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[1] D. E. Knuth, The Art of Computer Programming, Vol. 1, Addison-Wesley, 1997.</w:t>
      </w:r>
    </w:p>
    <w:p>
      <w:pPr>
        <w:spacing w:before="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[2] D. E. Knuth, The Art of Computer Programming, Vol. 3, Addison-Wesley, 1998.</w:t>
      </w:r>
    </w:p>
    <w:p>
      <w:pPr>
        <w:spacing w:before="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[3] W. Rudin, Principles of Mathematical Analysis, McGraw-Hill, 1976.</w:t>
      </w:r>
    </w:p>
    <w:sectPr>
      <w:headerReference w:type="default" r:id="rId6"/>
      <w:footerReference w:type="default" r:id="rId7"/>
      <w:pgSz w:w="11906" w:h="16838" w:orient="portrait"/>
      <w:pgMar w:top="1701" w:right="1587" w:bottom="158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20"/>
      <w:jc w:val="center"/>
    </w:pPr>
    <w:r>
      <w:rPr>
        <w:rFonts w:ascii="Courier New" w:cs="Courier New" w:eastAsia="Courier New" w:hAnsi="Courier New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120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AAAAAA"/>
        <w:sz w:val="16"/>
        <w:szCs w:val="16"/>
      </w:rPr>
      <w:t xml:space="preserve">Ars Typographica</w:t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111111"/>
        <w:sz w:val="16"/>
        <w:szCs w:val="16"/>
      </w:rPr>
      <w:t xml:space="preserve">	</w:t>
    </w:r>
    <w:r>
      <w:rPr>
        <w:rFonts w:ascii="Times New Roman" w:cs="Times New Roman" w:eastAsia="Times New Roman" w:hAnsi="Times New Roman"/>
        <w:b w:val="false"/>
        <w:bCs w:val="false"/>
        <w:i/>
        <w:iCs/>
        <w:color w:val="AAAAAA"/>
        <w:sz w:val="16"/>
        <w:szCs w:val="16"/>
      </w:rPr>
      <w:t xml:space="preserve">Charte Graphique Minimaliste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Times New Roman" w:cs="Times New Roman" w:eastAsia="Times New Roman" w:hAnsi="Times New Roman"/>
        <w:color w:val="AAAAAA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111111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22"/>
        <w:szCs w:val="22"/>
      </w:rPr>
    </w:rPrDefault>
    <w:pPrDefault>
      <w:pPr>
        <w:spacing w:line="360" w:before="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pPr>
      <w:spacing w:line="360" w:before="0" w:after="120"/>
      <w:jc w:val="both"/>
    </w:pPr>
    <w:rPr>
      <w:rFonts w:ascii="Times New Roman" w:cs="Times New Roman" w:eastAsia="Times New Roman" w:hAnsi="Times New Roman"/>
      <w:color w:val="111111"/>
      <w:sz w:val="22"/>
      <w:szCs w:val="22"/>
    </w:rPr>
  </w:style>
  <w:style w:type="paragraph" w:styleId="Heading1">
    <w:name w:val="Heading 1"/>
    <w:basedOn w:val="Normal"/>
    <w:next w:val="bodyText"/>
    <w:qFormat/>
    <w:pPr>
      <w:spacing w:before="480" w:after="200"/>
      <w:outlineLvl w:val="0"/>
    </w:pPr>
    <w:rPr>
      <w:rFonts w:ascii="Times New Roman" w:cs="Times New Roman" w:eastAsia="Times New Roman" w:hAnsi="Times New Roman"/>
      <w:b/>
      <w:bCs/>
      <w:color w:val="111111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360" w:after="120"/>
      <w:outlineLvl w:val="1"/>
    </w:pPr>
    <w:rPr>
      <w:rFonts w:ascii="Times New Roman" w:cs="Times New Roman" w:eastAsia="Times New Roman" w:hAnsi="Times New Roman"/>
      <w:b/>
      <w:bCs/>
      <w:color w:val="111111"/>
      <w:sz w:val="26"/>
      <w:szCs w:val="26"/>
    </w:rPr>
  </w:style>
  <w:style w:type="paragraph" w:styleId="Heading3">
    <w:name w:val="Heading 3"/>
    <w:basedOn w:val="Normal"/>
    <w:next w:val="bodyText"/>
    <w:qFormat/>
    <w:pPr>
      <w:spacing w:before="240" w:after="80"/>
      <w:outlineLvl w:val="2"/>
    </w:pPr>
    <w:rPr>
      <w:rFonts w:ascii="Times New Roman" w:cs="Times New Roman" w:eastAsia="Times New Roman" w:hAnsi="Times New Roman"/>
      <w:b/>
      <w:bCs/>
      <w:i/>
      <w:i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Ars Typographica v1.1</dc:title>
  <dc:subject>Charte + Environnements Mathématiques</dc:subject>
  <dc:creator>Ars Typographica</dc:creator>
  <cp:lastModifiedBy>Un-named</cp:lastModifiedBy>
  <cp:revision>1</cp:revision>
  <dcterms:created xsi:type="dcterms:W3CDTF">2026-03-07T08:25:54.716Z</dcterms:created>
  <dcterms:modified xsi:type="dcterms:W3CDTF">2026-03-07T08:25:54.716Z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