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0"/>
      </w:pPr>
    </w:p>
    <w:p>
      <w:pPr>
        <w:pBdr>
          <w:bottom w:val="single" w:color="111111" w:sz="10" w:space="4"/>
        </w:pBdr>
        <w:spacing w:before="80" w:after="120"/>
      </w:pPr>
    </w:p>
    <w:p>
      <w:pPr>
        <w:pStyle w:val="Heading1"/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color w:val="111111"/>
          <w:sz w:val="52"/>
          <w:szCs w:val="52"/>
        </w:rPr>
        <w:t xml:space="preserve">Titre du Document</w:t>
      </w:r>
    </w:p>
    <w:p>
      <w:pPr>
        <w:spacing w:before="0" w:after="200"/>
      </w:pPr>
      <w:r>
        <w:rPr>
          <w:rFonts w:ascii="Times New Roman" w:cs="Times New Roman" w:eastAsia="Times New Roman" w:hAnsi="Times New Roman"/>
          <w:i/>
          <w:iCs/>
          <w:color w:val="666666"/>
          <w:sz w:val="26"/>
          <w:szCs w:val="26"/>
        </w:rPr>
        <w:t xml:space="preserve">Sous-titre ou description de l'objet du document</w:t>
      </w:r>
    </w:p>
    <w:p>
      <w:pPr>
        <w:pBdr>
          <w:bottom w:val="single" w:color="CCCCCC" w:sz="2" w:space="4"/>
        </w:pBdr>
        <w:spacing w:before="80" w:after="80"/>
      </w:pPr>
    </w:p>
    <w:p>
      <w:pPr>
        <w:spacing w:before="200" w:after="0"/>
      </w:pPr>
      <w:r>
        <w:rPr>
          <w:rFonts w:ascii="Times New Roman" w:cs="Times New Roman" w:eastAsia="Times New Roman" w:hAnsi="Times New Roman"/>
          <w:b/>
          <w:bCs/>
          <w:color w:val="111111"/>
          <w:sz w:val="20"/>
          <w:szCs w:val="20"/>
        </w:rPr>
        <w:t xml:space="preserve">Auteur : </w:t>
      </w:r>
      <w:r>
        <w:rPr>
          <w:rFonts w:ascii="Times New Roman" w:cs="Times New Roman" w:eastAsia="Times New Roman" w:hAnsi="Times New Roman"/>
          <w:color w:val="333333"/>
          <w:sz w:val="20"/>
          <w:szCs w:val="20"/>
        </w:rPr>
        <w:t xml:space="preserve">Prénom Nom</w:t>
      </w:r>
      <w:r>
        <w:br/>
        <w:t xml:space="preserve">
</w:t>
      </w:r>
      <w:r>
        <w:rPr>
          <w:rFonts w:ascii="Times New Roman" w:cs="Times New Roman" w:eastAsia="Times New Roman" w:hAnsi="Times New Roman"/>
          <w:b/>
          <w:bCs/>
          <w:color w:val="111111"/>
          <w:sz w:val="20"/>
          <w:szCs w:val="20"/>
        </w:rPr>
        <w:t xml:space="preserve">Date : </w:t>
      </w:r>
      <w:r>
        <w:rPr>
          <w:rFonts w:ascii="Times New Roman" w:cs="Times New Roman" w:eastAsia="Times New Roman" w:hAnsi="Times New Roman"/>
          <w:color w:val="333333"/>
          <w:sz w:val="20"/>
          <w:szCs w:val="20"/>
        </w:rPr>
        <w:t xml:space="preserve">Mars 2026</w:t>
      </w:r>
      <w:r>
        <w:br/>
        <w:t xml:space="preserve">
</w:t>
      </w:r>
      <w:r>
        <w:rPr>
          <w:rFonts w:ascii="Times New Roman" w:cs="Times New Roman" w:eastAsia="Times New Roman" w:hAnsi="Times New Roman"/>
          <w:b/>
          <w:bCs/>
          <w:color w:val="111111"/>
          <w:sz w:val="20"/>
          <w:szCs w:val="20"/>
        </w:rPr>
        <w:t xml:space="preserve">Version : </w:t>
      </w:r>
      <w:r>
        <w:rPr>
          <w:rFonts w:ascii="Times New Roman" w:cs="Times New Roman" w:eastAsia="Times New Roman" w:hAnsi="Times New Roman"/>
          <w:color w:val="333333"/>
          <w:sz w:val="20"/>
          <w:szCs w:val="20"/>
        </w:rPr>
        <w:t xml:space="preserve">1.0</w:t>
      </w:r>
    </w:p>
    <w:p>
      <w:r>
        <w:br w:type="page"/>
      </w:r>
    </w:p>
    <w:p>
      <w:pPr>
        <w:spacing w:before="320" w:after="40"/>
      </w:pPr>
      <w:r>
        <w:rPr>
          <w:rFonts w:ascii="Courier New" w:cs="Courier New" w:eastAsia="Courier New" w:hAnsi="Courier New"/>
          <w:color w:val="AAAAAA"/>
          <w:sz w:val="16"/>
          <w:szCs w:val="16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before="320" w:after="40"/>
      </w:pPr>
      <w:r>
        <w:rPr>
          <w:rFonts w:ascii="Courier New" w:cs="Courier New" w:eastAsia="Courier New" w:hAnsi="Courier New"/>
          <w:color w:val="AAAAAA"/>
          <w:sz w:val="16"/>
          <w:szCs w:val="16"/>
        </w:rPr>
        <w:t xml:space="preserve">§ 1</w:t>
      </w:r>
    </w:p>
    <w:p>
      <w:pPr>
        <w:pStyle w:val="Heading1"/>
        <w:spacing w:before="120" w:after="200"/>
        <w:outlineLvl w:val="0"/>
      </w:pPr>
      <w:r>
        <w:rPr>
          <w:rFonts w:ascii="Times New Roman" w:cs="Times New Roman" w:eastAsia="Times New Roman" w:hAnsi="Times New Roman"/>
          <w:b/>
          <w:bCs/>
          <w:color w:val="111111"/>
          <w:sz w:val="34"/>
          <w:szCs w:val="34"/>
        </w:rPr>
        <w:t xml:space="preserve">Introduction</w:t>
      </w:r>
    </w:p>
    <w:p>
      <w:pPr>
        <w:pBdr>
          <w:bottom w:val="single" w:color="CCCCCC" w:sz="2" w:space="4"/>
        </w:pBdr>
        <w:spacing w:before="80" w:after="80"/>
      </w:pPr>
    </w:p>
    <w:p>
      <w:pPr>
        <w:pStyle w:val="bodyText"/>
        <w:spacing w:line="360" w:before="0"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Corps du texte justifié en Times New Roman 11 pt, interlignage 1,45 (16 pt). Ce paragraphe illustre le style de texte courant conforme à la charte. Les marges de 28 mm laissent un espace généreux pour des annotations marginales.</w:t>
      </w:r>
    </w:p>
    <w:p>
      <w:pPr>
        <w:pStyle w:val="bodyText"/>
        <w:spacing w:line="360" w:before="0"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Second paragraphe. L'espacement entre paragraphes est de 6 pt — suffisant pour marquer la séparation sans briser le flux de lecture. Notez l'absence d'indentation de première ligne, conformément au style académique contemporain.</w:t>
      </w:r>
    </w:p>
    <w:p>
      <w:pPr>
        <w:spacing w:before="320" w:after="40"/>
      </w:pPr>
      <w:r>
        <w:rPr>
          <w:rFonts w:ascii="Courier New" w:cs="Courier New" w:eastAsia="Courier New" w:hAnsi="Courier New"/>
          <w:color w:val="AAAAAA"/>
          <w:sz w:val="16"/>
          <w:szCs w:val="16"/>
        </w:rPr>
        <w:t xml:space="preserve">§ 1.1</w:t>
      </w:r>
    </w:p>
    <w:p>
      <w:pPr>
        <w:pStyle w:val="Heading2"/>
        <w:spacing w:before="360" w:after="120"/>
        <w:outlineLvl w:val="1"/>
      </w:pPr>
      <w:r>
        <w:rPr>
          <w:rFonts w:ascii="Times New Roman" w:cs="Times New Roman" w:eastAsia="Times New Roman" w:hAnsi="Times New Roman"/>
          <w:b/>
          <w:bCs/>
          <w:color w:val="111111"/>
          <w:sz w:val="26"/>
          <w:szCs w:val="26"/>
        </w:rPr>
        <w:t xml:space="preserve">Contexte et motivations</w:t>
      </w:r>
    </w:p>
    <w:p>
      <w:pPr>
        <w:pStyle w:val="bodyText"/>
        <w:spacing w:line="360" w:before="0"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Sous-section avec numérotation § 1.1. Le texte peut contenir des termes en italique comme — par exemple, un titre d'ouvrage en italique ou une variable mathématique x, n, σ — et des passages en monospace pour les identificateurs comme kmp_search ou les commandes.</w:t>
      </w:r>
    </w:p>
    <w:p>
      <w:r>
        <w:br w:type="page"/>
      </w:r>
    </w:p>
    <w:p>
      <w:pPr>
        <w:spacing w:before="320" w:after="40"/>
      </w:pPr>
      <w:r>
        <w:rPr>
          <w:rFonts w:ascii="Courier New" w:cs="Courier New" w:eastAsia="Courier New" w:hAnsi="Courier New"/>
          <w:color w:val="AAAAAA"/>
          <w:sz w:val="16"/>
          <w:szCs w:val="16"/>
        </w:rPr>
        <w:t xml:space="preserve">§ 2</w:t>
      </w:r>
    </w:p>
    <w:p>
      <w:pPr>
        <w:pStyle w:val="Heading1"/>
        <w:spacing w:before="120" w:after="200"/>
        <w:outlineLvl w:val="0"/>
      </w:pPr>
      <w:r>
        <w:rPr>
          <w:rFonts w:ascii="Times New Roman" w:cs="Times New Roman" w:eastAsia="Times New Roman" w:hAnsi="Times New Roman"/>
          <w:b/>
          <w:bCs/>
          <w:color w:val="111111"/>
          <w:sz w:val="34"/>
          <w:szCs w:val="34"/>
        </w:rPr>
        <w:t xml:space="preserve">Données et tableaux</w:t>
      </w:r>
    </w:p>
    <w:p>
      <w:pPr>
        <w:pBdr>
          <w:bottom w:val="single" w:color="CCCCCC" w:sz="2" w:space="4"/>
        </w:pBdr>
        <w:spacing w:before="80" w:after="80"/>
      </w:pPr>
    </w:p>
    <w:p>
      <w:pPr>
        <w:pStyle w:val="bodyText"/>
        <w:spacing w:line="360" w:before="0"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Les tableaux suivent le modèle TAOCP : en-tête sur fond noir, corps alternant blanc et gris très léger, filets fins 0.25 pt.</w:t>
      </w:r>
    </w:p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111111" w:sz="2"/>
              <w:left w:val="single" w:color="111111" w:sz="2"/>
              <w:bottom w:val="single" w:color="111111" w:sz="2"/>
              <w:right w:val="single" w:color="111111" w:sz="2"/>
            </w:tcBorders>
            <w:shd w:fill="11111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Algorithme</w:t>
            </w:r>
          </w:p>
        </w:tc>
        <w:tc>
          <w:tcPr>
            <w:tcW w:type="dxa" w:w="1872"/>
            <w:tcBorders>
              <w:top w:val="single" w:color="111111" w:sz="2"/>
              <w:left w:val="single" w:color="111111" w:sz="2"/>
              <w:bottom w:val="single" w:color="111111" w:sz="2"/>
              <w:right w:val="single" w:color="111111" w:sz="2"/>
            </w:tcBorders>
            <w:shd w:fill="11111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Meilleur cas</w:t>
            </w:r>
          </w:p>
        </w:tc>
        <w:tc>
          <w:tcPr>
            <w:tcW w:type="dxa" w:w="1872"/>
            <w:tcBorders>
              <w:top w:val="single" w:color="111111" w:sz="2"/>
              <w:left w:val="single" w:color="111111" w:sz="2"/>
              <w:bottom w:val="single" w:color="111111" w:sz="2"/>
              <w:right w:val="single" w:color="111111" w:sz="2"/>
            </w:tcBorders>
            <w:shd w:fill="11111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Cas moyen</w:t>
            </w:r>
          </w:p>
        </w:tc>
        <w:tc>
          <w:tcPr>
            <w:tcW w:type="dxa" w:w="1872"/>
            <w:tcBorders>
              <w:top w:val="single" w:color="111111" w:sz="2"/>
              <w:left w:val="single" w:color="111111" w:sz="2"/>
              <w:bottom w:val="single" w:color="111111" w:sz="2"/>
              <w:right w:val="single" w:color="111111" w:sz="2"/>
            </w:tcBorders>
            <w:shd w:fill="11111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Pire cas</w:t>
            </w:r>
          </w:p>
        </w:tc>
        <w:tc>
          <w:tcPr>
            <w:tcW w:type="dxa" w:w="1872"/>
            <w:tcBorders>
              <w:top w:val="single" w:color="111111" w:sz="2"/>
              <w:left w:val="single" w:color="111111" w:sz="2"/>
              <w:bottom w:val="single" w:color="111111" w:sz="2"/>
              <w:right w:val="single" w:color="111111" w:sz="2"/>
            </w:tcBorders>
            <w:shd w:fill="11111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Mémoire</w:t>
            </w:r>
          </w:p>
        </w:tc>
      </w:tr>
      <w:tr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cs="Times New Roman" w:eastAsia="Times New Roman" w:hAnsi="Times New Roman"/>
                <w:color w:val="111111"/>
                <w:sz w:val="17"/>
                <w:szCs w:val="17"/>
              </w:rPr>
              <w:t xml:space="preserve">Insertion sort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O(n²)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O(n²)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O(1)</w:t>
            </w:r>
          </w:p>
        </w:tc>
      </w:tr>
      <w:tr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cs="Times New Roman" w:eastAsia="Times New Roman" w:hAnsi="Times New Roman"/>
                <w:color w:val="111111"/>
                <w:sz w:val="17"/>
                <w:szCs w:val="17"/>
              </w:rPr>
              <w:t xml:space="preserve">Mergesort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 log 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 log 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 log 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O(n)</w:t>
            </w:r>
          </w:p>
        </w:tc>
      </w:tr>
      <w:tr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cs="Times New Roman" w:eastAsia="Times New Roman" w:hAnsi="Times New Roman"/>
                <w:color w:val="111111"/>
                <w:sz w:val="17"/>
                <w:szCs w:val="17"/>
              </w:rPr>
              <w:t xml:space="preserve">Quicksort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 log 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 log 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O(n²)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O(log n)</w:t>
            </w:r>
          </w:p>
        </w:tc>
      </w:tr>
      <w:tr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cs="Times New Roman" w:eastAsia="Times New Roman" w:hAnsi="Times New Roman"/>
                <w:color w:val="111111"/>
                <w:sz w:val="17"/>
                <w:szCs w:val="17"/>
              </w:rPr>
              <w:t xml:space="preserve">Heapsort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 log 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 log 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 log 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O(1)</w:t>
            </w:r>
          </w:p>
        </w:tc>
      </w:tr>
      <w:tr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cs="Times New Roman" w:eastAsia="Times New Roman" w:hAnsi="Times New Roman"/>
                <w:color w:val="111111"/>
                <w:sz w:val="17"/>
                <w:szCs w:val="17"/>
              </w:rPr>
              <w:t xml:space="preserve">Timsort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 log 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 log n)</w:t>
            </w:r>
          </w:p>
        </w:tc>
        <w:tc>
          <w:tcPr>
            <w:tcW w:type="dxa" w:w="1872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O(n)</w:t>
            </w:r>
          </w:p>
        </w:tc>
      </w:tr>
    </w:tbl>
    <w:p>
      <w:pPr>
        <w:spacing w:before="60" w:after="240"/>
        <w:jc w:val="left"/>
      </w:pPr>
      <w:r>
        <w:rPr>
          <w:rFonts w:ascii="Times New Roman" w:cs="Times New Roman" w:eastAsia="Times New Roman" w:hAnsi="Times New Roman"/>
          <w:i/>
          <w:iCs/>
          <w:color w:val="666666"/>
          <w:sz w:val="17"/>
          <w:szCs w:val="17"/>
        </w:rPr>
        <w:t xml:space="preserve">Table 2.1 — Complexités des algorithmes de tri dans le modèle de comparaison.</w:t>
      </w:r>
    </w:p>
    <w:p>
      <w:pPr>
        <w:spacing w:before="320" w:after="40"/>
      </w:pPr>
      <w:r>
        <w:rPr>
          <w:rFonts w:ascii="Courier New" w:cs="Courier New" w:eastAsia="Courier New" w:hAnsi="Courier New"/>
          <w:color w:val="AAAAAA"/>
          <w:sz w:val="16"/>
          <w:szCs w:val="16"/>
        </w:rPr>
        <w:t xml:space="preserve">§ 3</w:t>
      </w:r>
    </w:p>
    <w:p>
      <w:pPr>
        <w:pStyle w:val="Heading1"/>
        <w:spacing w:before="120" w:after="200"/>
        <w:outlineLvl w:val="0"/>
      </w:pPr>
      <w:r>
        <w:rPr>
          <w:rFonts w:ascii="Times New Roman" w:cs="Times New Roman" w:eastAsia="Times New Roman" w:hAnsi="Times New Roman"/>
          <w:b/>
          <w:bCs/>
          <w:color w:val="111111"/>
          <w:sz w:val="34"/>
          <w:szCs w:val="34"/>
        </w:rPr>
        <w:t xml:space="preserve">Listes et code source</w:t>
      </w:r>
    </w:p>
    <w:p>
      <w:pPr>
        <w:pBdr>
          <w:bottom w:val="single" w:color="CCCCCC" w:sz="2" w:space="4"/>
        </w:pBdr>
        <w:spacing w:before="80" w:after="80"/>
      </w:pPr>
    </w:p>
    <w:p>
      <w:pPr>
        <w:pStyle w:val="bodyText"/>
        <w:spacing w:line="360" w:before="0"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Les listes non ordonnées utilisent un tiret long comme marqueur, conformément à la typographie française classique :</w:t>
      </w:r>
    </w:p>
    <w:p>
      <w:pPr>
        <w:spacing w:before="0" w:after="120"/>
      </w:pP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Times New Roman" w:cs="Times New Roman" w:eastAsia="Times New Roman" w:hAnsi="Times New Roman"/>
          <w:color w:val="111111"/>
          <w:sz w:val="22"/>
          <w:szCs w:val="22"/>
        </w:rPr>
        <w:t xml:space="preserve">Premier élément de la liste avec explication concise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Times New Roman" w:cs="Times New Roman" w:eastAsia="Times New Roman" w:hAnsi="Times New Roman"/>
          <w:color w:val="111111"/>
          <w:sz w:val="22"/>
          <w:szCs w:val="22"/>
        </w:rPr>
        <w:t xml:space="preserve">Deuxième élément — note ou précision complémentaire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Times New Roman" w:cs="Times New Roman" w:eastAsia="Times New Roman" w:hAnsi="Times New Roman"/>
          <w:color w:val="111111"/>
          <w:sz w:val="22"/>
          <w:szCs w:val="22"/>
        </w:rPr>
        <w:t xml:space="preserve">Troisième élément illustrant la structure de liste</w:t>
      </w:r>
    </w:p>
    <w:p>
      <w:pPr>
        <w:spacing w:before="0" w:after="160"/>
      </w:pPr>
    </w:p>
    <w:p>
      <w:pPr>
        <w:pStyle w:val="bodyText"/>
        <w:spacing w:line="360" w:before="0"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Les blocs de code sont composés en Courier New 9 pt sur fond gris clair :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F5F5F5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before="0" w:after="0" w:line="276"/>
            </w:pPr>
            <w:r>
              <w:rPr>
                <w:rFonts w:ascii="Courier New" w:cs="Courier New" w:eastAsia="Courier New" w:hAnsi="Courier New"/>
                <w:color w:val="111111"/>
                <w:sz w:val="18"/>
                <w:szCs w:val="18"/>
              </w:rPr>
              <w:t xml:space="preserve">function kmp_search(text, pattern):</w:t>
            </w:r>
          </w:p>
        </w:tc>
      </w:tr>
      <w:tr>
        <w:tc>
          <w:tcPr>
            <w:tcW w:type="dxa" w:w="936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F5F5F5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before="0" w:after="0" w:line="276"/>
            </w:pPr>
            <w:r>
              <w:rPr>
                <w:rFonts w:ascii="Courier New" w:cs="Courier New" w:eastAsia="Courier New" w:hAnsi="Courier New"/>
                <w:color w:val="111111"/>
                <w:sz w:val="18"/>
                <w:szCs w:val="18"/>
              </w:rPr>
              <w:t xml:space="preserve">    n, m := len(text), len(pattern)</w:t>
            </w:r>
          </w:p>
        </w:tc>
      </w:tr>
      <w:tr>
        <w:tc>
          <w:tcPr>
            <w:tcW w:type="dxa" w:w="936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F5F5F5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before="0" w:after="0" w:line="276"/>
            </w:pPr>
            <w:r>
              <w:rPr>
                <w:rFonts w:ascii="Courier New" w:cs="Courier New" w:eastAsia="Courier New" w:hAnsi="Courier New"/>
                <w:color w:val="111111"/>
                <w:sz w:val="18"/>
                <w:szCs w:val="18"/>
              </w:rPr>
              <w:t xml:space="preserve">    lps  := compute_lps(pattern)    -- Longest proper prefix-suffix</w:t>
            </w:r>
          </w:p>
        </w:tc>
      </w:tr>
      <w:tr>
        <w:tc>
          <w:tcPr>
            <w:tcW w:type="dxa" w:w="936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F5F5F5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before="0" w:after="0" w:line="276"/>
            </w:pPr>
            <w:r>
              <w:rPr>
                <w:rFonts w:ascii="Courier New" w:cs="Courier New" w:eastAsia="Courier New" w:hAnsi="Courier New"/>
                <w:color w:val="111111"/>
                <w:sz w:val="18"/>
                <w:szCs w:val="18"/>
              </w:rPr>
              <w:t xml:space="preserve">    i := 0;  j := 0</w:t>
            </w:r>
          </w:p>
        </w:tc>
      </w:tr>
      <w:tr>
        <w:tc>
          <w:tcPr>
            <w:tcW w:type="dxa" w:w="936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F5F5F5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before="0" w:after="0" w:line="276"/>
            </w:pPr>
            <w:r>
              <w:rPr>
                <w:rFonts w:ascii="Courier New" w:cs="Courier New" w:eastAsia="Courier New" w:hAnsi="Courier New"/>
                <w:color w:val="111111"/>
                <w:sz w:val="18"/>
                <w:szCs w:val="18"/>
              </w:rPr>
              <w:t xml:space="preserve">    while i &lt; n do</w:t>
            </w:r>
          </w:p>
        </w:tc>
      </w:tr>
      <w:tr>
        <w:tc>
          <w:tcPr>
            <w:tcW w:type="dxa" w:w="936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F5F5F5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before="0" w:after="0" w:line="276"/>
            </w:pPr>
            <w:r>
              <w:rPr>
                <w:rFonts w:ascii="Courier New" w:cs="Courier New" w:eastAsia="Courier New" w:hAnsi="Courier New"/>
                <w:color w:val="111111"/>
                <w:sz w:val="18"/>
                <w:szCs w:val="18"/>
              </w:rPr>
              <w:t xml:space="preserve">        if pattern[j] = text[i] then</w:t>
            </w:r>
          </w:p>
        </w:tc>
      </w:tr>
      <w:tr>
        <w:tc>
          <w:tcPr>
            <w:tcW w:type="dxa" w:w="936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F5F5F5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before="0" w:after="0" w:line="276"/>
            </w:pPr>
            <w:r>
              <w:rPr>
                <w:rFonts w:ascii="Courier New" w:cs="Courier New" w:eastAsia="Courier New" w:hAnsi="Courier New"/>
                <w:color w:val="111111"/>
                <w:sz w:val="18"/>
                <w:szCs w:val="18"/>
              </w:rPr>
              <w:t xml:space="preserve">            i++; j++</w:t>
            </w:r>
          </w:p>
        </w:tc>
      </w:tr>
      <w:tr>
        <w:tc>
          <w:tcPr>
            <w:tcW w:type="dxa" w:w="9360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F5F5F5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before="0" w:after="0" w:line="276"/>
            </w:pPr>
            <w:r>
              <w:rPr>
                <w:rFonts w:ascii="Courier New" w:cs="Courier New" w:eastAsia="Courier New" w:hAnsi="Courier New"/>
                <w:color w:val="111111"/>
                <w:sz w:val="18"/>
                <w:szCs w:val="18"/>
              </w:rPr>
              <w:t xml:space="preserve">        if j = m then return i - j  -- Match found</w:t>
            </w:r>
          </w:p>
        </w:tc>
      </w:tr>
    </w:tbl>
    <w:p>
      <w:pPr>
        <w:spacing w:before="60" w:after="240"/>
        <w:jc w:val="left"/>
      </w:pPr>
      <w:r>
        <w:rPr>
          <w:rFonts w:ascii="Times New Roman" w:cs="Times New Roman" w:eastAsia="Times New Roman" w:hAnsi="Times New Roman"/>
          <w:i/>
          <w:iCs/>
          <w:color w:val="666666"/>
          <w:sz w:val="17"/>
          <w:szCs w:val="17"/>
        </w:rPr>
        <w:t xml:space="preserve">Algorithme 3.1 — Recherche de motif par Knuth–Morris–Pratt.</w:t>
      </w:r>
    </w:p>
    <w:p>
      <w:r>
        <w:br w:type="page"/>
      </w:r>
    </w:p>
    <w:p>
      <w:pPr>
        <w:spacing w:before="320" w:after="40"/>
      </w:pPr>
      <w:r>
        <w:rPr>
          <w:rFonts w:ascii="Courier New" w:cs="Courier New" w:eastAsia="Courier New" w:hAnsi="Courier New"/>
          <w:color w:val="AAAAAA"/>
          <w:sz w:val="16"/>
          <w:szCs w:val="16"/>
        </w:rPr>
        <w:t xml:space="preserve">§ 4</w:t>
      </w:r>
    </w:p>
    <w:p>
      <w:pPr>
        <w:pStyle w:val="Heading1"/>
        <w:spacing w:before="120" w:after="200"/>
        <w:outlineLvl w:val="0"/>
      </w:pPr>
      <w:r>
        <w:rPr>
          <w:rFonts w:ascii="Times New Roman" w:cs="Times New Roman" w:eastAsia="Times New Roman" w:hAnsi="Times New Roman"/>
          <w:b/>
          <w:bCs/>
          <w:color w:val="111111"/>
          <w:sz w:val="34"/>
          <w:szCs w:val="34"/>
        </w:rPr>
        <w:t xml:space="preserve">Conclusion</w:t>
      </w:r>
    </w:p>
    <w:p>
      <w:pPr>
        <w:pBdr>
          <w:bottom w:val="single" w:color="CCCCCC" w:sz="2" w:space="4"/>
        </w:pBdr>
        <w:spacing w:before="80" w:after="80"/>
      </w:pPr>
    </w:p>
    <w:p>
      <w:pPr>
        <w:pStyle w:val="bodyText"/>
        <w:spacing w:line="360" w:before="0"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Texte de conclusion. Rappel des points essentiels, ouverture sur des perspectives de travaux futurs.</w:t>
      </w:r>
    </w:p>
    <w:p>
      <w:pPr>
        <w:pStyle w:val="bodyText"/>
        <w:spacing w:line="360" w:before="0"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Ce document est un template conforme à la Charte Graphique Minimaliste Ars Typographica, version 1.0 (Mars 2026). Les styles sont définis pour Heading 1–3, corps de texte justifié, légende, bloc de code et liste.</w:t>
      </w:r>
    </w:p>
    <w:p>
      <w:pPr>
        <w:spacing w:before="320" w:after="40"/>
      </w:pPr>
      <w:r>
        <w:rPr>
          <w:rFonts w:ascii="Courier New" w:cs="Courier New" w:eastAsia="Courier New" w:hAnsi="Courier New"/>
          <w:color w:val="AAAAAA"/>
          <w:sz w:val="16"/>
          <w:szCs w:val="16"/>
        </w:rPr>
        <w:t xml:space="preserve">Références</w:t>
      </w:r>
    </w:p>
    <w:p>
      <w:pPr>
        <w:pStyle w:val="Heading1"/>
        <w:spacing w:before="120" w:after="200"/>
        <w:outlineLvl w:val="0"/>
      </w:pPr>
      <w:r>
        <w:rPr>
          <w:rFonts w:ascii="Times New Roman" w:cs="Times New Roman" w:eastAsia="Times New Roman" w:hAnsi="Times New Roman"/>
          <w:b/>
          <w:bCs/>
          <w:color w:val="111111"/>
          <w:sz w:val="34"/>
          <w:szCs w:val="34"/>
        </w:rPr>
        <w:t xml:space="preserve">Références</w:t>
      </w:r>
    </w:p>
    <w:p>
      <w:pPr>
        <w:pBdr>
          <w:bottom w:val="single" w:color="CCCCCC" w:sz="2" w:space="4"/>
        </w:pBdr>
        <w:spacing w:before="80" w:after="80"/>
      </w:pPr>
    </w:p>
    <w:p>
      <w:pPr>
        <w:spacing w:before="0" w:after="120"/>
      </w:pPr>
      <w:r>
        <w:rPr>
          <w:rFonts w:ascii="Times New Roman" w:cs="Times New Roman" w:eastAsia="Times New Roman" w:hAnsi="Times New Roman"/>
          <w:color w:val="333333"/>
          <w:sz w:val="20"/>
          <w:szCs w:val="20"/>
        </w:rPr>
        <w:t xml:space="preserve">[1] Donald E. Knuth, «The Art of Computer Programming, Vol. 1 : Fundamental Algorithms», 3ᵉ éd., Addison-Wesley, 1997.</w:t>
      </w:r>
    </w:p>
    <w:p>
      <w:pPr>
        <w:spacing w:before="0" w:after="120"/>
      </w:pPr>
      <w:r>
        <w:rPr>
          <w:rFonts w:ascii="Times New Roman" w:cs="Times New Roman" w:eastAsia="Times New Roman" w:hAnsi="Times New Roman"/>
          <w:color w:val="333333"/>
          <w:sz w:val="20"/>
          <w:szCs w:val="20"/>
        </w:rPr>
        <w:t xml:space="preserve">[2] Donald E. Knuth, «The Art of Computer Programming, Vol. 3 : Sorting and Searching», 2ᵉ éd., Addison-Wesley, 1998.</w:t>
      </w:r>
    </w:p>
    <w:p>
      <w:pPr>
        <w:spacing w:before="0" w:after="120"/>
      </w:pPr>
      <w:r>
        <w:rPr>
          <w:rFonts w:ascii="Times New Roman" w:cs="Times New Roman" w:eastAsia="Times New Roman" w:hAnsi="Times New Roman"/>
          <w:color w:val="333333"/>
          <w:sz w:val="20"/>
          <w:szCs w:val="20"/>
        </w:rPr>
        <w:t xml:space="preserve">[3] Donald E. Knuth, «The TeXbook», Addison-Wesley, 1984.</w:t>
      </w:r>
    </w:p>
    <w:sectPr>
      <w:headerReference w:type="default" r:id="rId6"/>
      <w:footerReference w:type="default" r:id="rId7"/>
      <w:pgSz w:w="11906" w:h="16838" w:orient="portrait"/>
      <w:pgMar w:top="1701" w:right="1587" w:bottom="158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spacing w:before="120"/>
      <w:jc w:val="center"/>
    </w:pPr>
    <w:r>
      <w:rPr>
        <w:rFonts w:ascii="Courier New" w:cs="Courier New" w:eastAsia="Courier New" w:hAnsi="Courier New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1"/>
      </w:pBdr>
      <w:tabs>
        <w:tab w:val="right" w:pos="9026"/>
      </w:tabs>
      <w:spacing w:after="120"/>
    </w:pPr>
    <w:r>
      <w:rPr>
        <w:rFonts w:ascii="Times New Roman" w:cs="Times New Roman" w:eastAsia="Times New Roman" w:hAnsi="Times New Roman"/>
        <w:i/>
        <w:iCs/>
        <w:color w:val="AAAAAA"/>
        <w:sz w:val="16"/>
        <w:szCs w:val="16"/>
      </w:rPr>
      <w:t xml:space="preserve">Ars Typographica</w:t>
    </w:r>
    <w:r>
      <w:t xml:space="preserve">	</w:t>
    </w:r>
    <w:r>
      <w:rPr>
        <w:rFonts w:ascii="Times New Roman" w:cs="Times New Roman" w:eastAsia="Times New Roman" w:hAnsi="Times New Roman"/>
        <w:i/>
        <w:iCs/>
        <w:color w:val="AAAAAA"/>
        <w:sz w:val="16"/>
        <w:szCs w:val="16"/>
      </w:rPr>
      <w:t xml:space="preserve">Charte Graphique Minimaliste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  <w:rPr>
        <w:rFonts w:ascii="Times New Roman" w:cs="Times New Roman" w:eastAsia="Times New Roman" w:hAnsi="Times New Roman"/>
        <w:color w:val="AAAAAA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color w:val="111111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11111"/>
        <w:sz w:val="22"/>
        <w:szCs w:val="22"/>
      </w:rPr>
    </w:rPrDefault>
    <w:pPrDefault>
      <w:pPr>
        <w:spacing w:line="360" w:before="0"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next w:val="bodyText"/>
    <w:pPr>
      <w:spacing w:line="360" w:before="0" w:after="120"/>
      <w:jc w:val="both"/>
    </w:pPr>
    <w:rPr>
      <w:rFonts w:ascii="Times New Roman" w:cs="Times New Roman" w:eastAsia="Times New Roman" w:hAnsi="Times New Roman"/>
      <w:color w:val="111111"/>
      <w:sz w:val="22"/>
      <w:szCs w:val="22"/>
    </w:rPr>
  </w:style>
  <w:style w:type="paragraph" w:styleId="Heading1">
    <w:name w:val="Heading 1"/>
    <w:basedOn w:val="Normal"/>
    <w:next w:val="bodyText"/>
    <w:qFormat/>
    <w:pPr>
      <w:spacing w:before="480" w:after="200"/>
      <w:outlineLvl w:val="0"/>
    </w:pPr>
    <w:rPr>
      <w:rFonts w:ascii="Times New Roman" w:cs="Times New Roman" w:eastAsia="Times New Roman" w:hAnsi="Times New Roman"/>
      <w:b/>
      <w:bCs/>
      <w:color w:val="111111"/>
      <w:sz w:val="34"/>
      <w:szCs w:val="34"/>
    </w:rPr>
  </w:style>
  <w:style w:type="paragraph" w:styleId="Heading2">
    <w:name w:val="Heading 2"/>
    <w:basedOn w:val="Normal"/>
    <w:next w:val="bodyText"/>
    <w:qFormat/>
    <w:pPr>
      <w:spacing w:before="360" w:after="120"/>
      <w:outlineLvl w:val="1"/>
    </w:pPr>
    <w:rPr>
      <w:rFonts w:ascii="Times New Roman" w:cs="Times New Roman" w:eastAsia="Times New Roman" w:hAnsi="Times New Roman"/>
      <w:b/>
      <w:bCs/>
      <w:color w:val="111111"/>
      <w:sz w:val="26"/>
      <w:szCs w:val="26"/>
    </w:rPr>
  </w:style>
  <w:style w:type="paragraph" w:styleId="Heading3">
    <w:name w:val="Heading 3"/>
    <w:basedOn w:val="Normal"/>
    <w:next w:val="bodyText"/>
    <w:qFormat/>
    <w:pPr>
      <w:spacing w:before="240" w:after="80"/>
      <w:outlineLvl w:val="2"/>
    </w:pPr>
    <w:rPr>
      <w:rFonts w:ascii="Times New Roman" w:cs="Times New Roman" w:eastAsia="Times New Roman" w:hAnsi="Times New Roman"/>
      <w:b/>
      <w:bCs/>
      <w:i/>
      <w:iCs/>
      <w:color w:val="111111"/>
      <w:sz w:val="22"/>
      <w:szCs w:val="22"/>
    </w:rPr>
  </w:style>
  <w:style w:type="paragraph" w:styleId="Caption">
    <w:name w:val="Caption"/>
    <w:basedOn w:val="Normal"/>
    <w:next w:val="bodyText"/>
    <w:pPr>
      <w:spacing w:before="60" w:after="240"/>
    </w:pPr>
    <w:rPr>
      <w:rFonts w:ascii="Times New Roman" w:cs="Times New Roman" w:eastAsia="Times New Roman" w:hAnsi="Times New Roman"/>
      <w:i/>
      <w:iCs/>
      <w:color w:val="666666"/>
      <w:sz w:val="17"/>
      <w:szCs w:val="17"/>
    </w:rPr>
  </w:style>
  <w:style w:type="paragraph" w:styleId="CodeBlock">
    <w:name w:val="Code Block"/>
    <w:basedOn w:val="Normal"/>
    <w:next w:val="CodeBlock"/>
    <w:pPr>
      <w:shd w:fill="F5F5F5" w:val="clear"/>
      <w:spacing w:line="276" w:before="0" w:after="0"/>
      <w:ind w:left="180" w:right="180"/>
    </w:pPr>
    <w:rPr>
      <w:rFonts w:ascii="Courier New" w:cs="Courier New" w:eastAsia="Courier New" w:hAnsi="Courier New"/>
      <w:color w:val="111111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Ars Typographica</dc:title>
  <dc:subject>Charte Graphique Minimaliste — Inspiration TAOCP / Knuth</dc:subject>
  <dc:creator>Ars Typographica v1.0</dc:creator>
  <dc:description>Template Word conforme à la charte graphique minimaliste</dc:description>
  <cp:lastModifiedBy>Un-named</cp:lastModifiedBy>
  <cp:revision>1</cp:revision>
  <dcterms:created xsi:type="dcterms:W3CDTF">2026-03-07T06:20:38.652Z</dcterms:created>
  <dcterms:modified xsi:type="dcterms:W3CDTF">2026-03-07T06:20:38.652Z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