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COMPARACIÓ DEL TEMPS D’EXECUCIÓ D’UN ALGORISME DE FIBONACCI EN FUNCIÓ DEL LLENGUATGE DE PROGRAMACIÓ I STMA OPERATIU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RESUMEN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 Objectiu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1.2 Mètodes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1.3 Resultats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1.4 Conclusions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INTRODUCCIÓ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OBJECTIU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MATERIAL I MÈTODES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4.1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4.2 Mesura de les 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4.3 Hipòtesi i premises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4.4 Estadístic i distribució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Resultats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Discussió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6.1 Conclusions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6.2 Limitacions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5.3 Treball futur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A: Annex: codis del projecte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B: Annex: codi en 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 Annex: dades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