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010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90"/>
        <w:gridCol w:w="1915"/>
        <w:gridCol w:w="2193"/>
        <w:gridCol w:w="2798"/>
        <w:gridCol w:w="2610"/>
      </w:tblGrid>
      <w:tr w:rsidR="00ED0DFB" w:rsidRPr="00E2122E" w14:paraId="54EC3342" w14:textId="77777777" w:rsidTr="00E21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730CD96B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S/N</w:t>
            </w:r>
          </w:p>
        </w:tc>
        <w:tc>
          <w:tcPr>
            <w:tcW w:w="1915" w:type="dxa"/>
            <w:shd w:val="clear" w:color="auto" w:fill="FFFFFF" w:themeFill="background1"/>
          </w:tcPr>
          <w:p w14:paraId="4EFDD54E" w14:textId="77777777" w:rsidR="00ED0DFB" w:rsidRPr="00E2122E" w:rsidRDefault="00ED0DFB" w:rsidP="00862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2193" w:type="dxa"/>
            <w:shd w:val="clear" w:color="auto" w:fill="FFFFFF" w:themeFill="background1"/>
          </w:tcPr>
          <w:p w14:paraId="7AECFFDA" w14:textId="77777777" w:rsidR="00ED0DFB" w:rsidRPr="00E2122E" w:rsidRDefault="00ED0DFB" w:rsidP="00862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Event</w:t>
            </w:r>
          </w:p>
        </w:tc>
        <w:tc>
          <w:tcPr>
            <w:tcW w:w="2798" w:type="dxa"/>
            <w:shd w:val="clear" w:color="auto" w:fill="FFFFFF" w:themeFill="background1"/>
          </w:tcPr>
          <w:p w14:paraId="71204B53" w14:textId="77777777" w:rsidR="00ED0DFB" w:rsidRPr="00E2122E" w:rsidRDefault="00ED0DFB" w:rsidP="00862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Significance</w:t>
            </w:r>
          </w:p>
        </w:tc>
        <w:tc>
          <w:tcPr>
            <w:tcW w:w="2610" w:type="dxa"/>
            <w:shd w:val="clear" w:color="auto" w:fill="FFFFFF" w:themeFill="background1"/>
          </w:tcPr>
          <w:p w14:paraId="7EF6962D" w14:textId="77777777" w:rsidR="00ED0DFB" w:rsidRPr="00E2122E" w:rsidRDefault="00ED0DFB" w:rsidP="00862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Source</w:t>
            </w:r>
          </w:p>
        </w:tc>
      </w:tr>
      <w:tr w:rsidR="00ED0DFB" w:rsidRPr="00E2122E" w14:paraId="51F81BA9" w14:textId="77777777" w:rsidTr="00E2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04774F03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1915" w:type="dxa"/>
            <w:shd w:val="clear" w:color="auto" w:fill="FFFFFF" w:themeFill="background1"/>
          </w:tcPr>
          <w:p w14:paraId="701EC602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Morris Worm (1988)</w:t>
            </w:r>
          </w:p>
        </w:tc>
        <w:tc>
          <w:tcPr>
            <w:tcW w:w="2193" w:type="dxa"/>
            <w:shd w:val="clear" w:color="auto" w:fill="FFFFFF" w:themeFill="background1"/>
          </w:tcPr>
          <w:p w14:paraId="679F2319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Robert Tappan Morris unleashes the Morris Worm, infecting over 6,000 computers.</w:t>
            </w:r>
          </w:p>
        </w:tc>
        <w:tc>
          <w:tcPr>
            <w:tcW w:w="2798" w:type="dxa"/>
            <w:shd w:val="clear" w:color="auto" w:fill="FFFFFF" w:themeFill="background1"/>
          </w:tcPr>
          <w:p w14:paraId="5F127755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 xml:space="preserve">First major computer worm, raised awareness about cybersecurity, and led to the development of antivirus software. </w:t>
            </w:r>
          </w:p>
        </w:tc>
        <w:tc>
          <w:tcPr>
            <w:tcW w:w="2610" w:type="dxa"/>
            <w:shd w:val="clear" w:color="auto" w:fill="FFFFFF" w:themeFill="background1"/>
          </w:tcPr>
          <w:p w14:paraId="6278DE61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"The Morris Worm" by Cornell University</w:t>
            </w:r>
          </w:p>
        </w:tc>
      </w:tr>
      <w:tr w:rsidR="00ED0DFB" w:rsidRPr="00E2122E" w14:paraId="17EA5182" w14:textId="77777777" w:rsidTr="00E2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3649F5DE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 xml:space="preserve">2. </w:t>
            </w:r>
          </w:p>
        </w:tc>
        <w:tc>
          <w:tcPr>
            <w:tcW w:w="1915" w:type="dxa"/>
            <w:shd w:val="clear" w:color="auto" w:fill="FFFFFF" w:themeFill="background1"/>
          </w:tcPr>
          <w:p w14:paraId="4E6A0676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Melissa Virus (1999)</w:t>
            </w:r>
          </w:p>
        </w:tc>
        <w:tc>
          <w:tcPr>
            <w:tcW w:w="2193" w:type="dxa"/>
            <w:shd w:val="clear" w:color="auto" w:fill="FFFFFF" w:themeFill="background1"/>
          </w:tcPr>
          <w:p w14:paraId="5486BB47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The Melissa virus spreads rapidly, infecting over 1 million computers.</w:t>
            </w:r>
          </w:p>
        </w:tc>
        <w:tc>
          <w:tcPr>
            <w:tcW w:w="2798" w:type="dxa"/>
            <w:shd w:val="clear" w:color="auto" w:fill="FFFFFF" w:themeFill="background1"/>
          </w:tcPr>
          <w:p w14:paraId="4FCB6789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Demonstrated the potential for email-borne viruses and led to improved email filtering and antivirus software.</w:t>
            </w:r>
          </w:p>
        </w:tc>
        <w:tc>
          <w:tcPr>
            <w:tcW w:w="2610" w:type="dxa"/>
            <w:shd w:val="clear" w:color="auto" w:fill="FFFFFF" w:themeFill="background1"/>
          </w:tcPr>
          <w:p w14:paraId="494FDD51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"Melissa Virus" by Symantec</w:t>
            </w:r>
          </w:p>
        </w:tc>
      </w:tr>
      <w:tr w:rsidR="00ED0DFB" w:rsidRPr="00E2122E" w14:paraId="06D48FD7" w14:textId="77777777" w:rsidTr="00E2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13459CFB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1915" w:type="dxa"/>
            <w:shd w:val="clear" w:color="auto" w:fill="FFFFFF" w:themeFill="background1"/>
          </w:tcPr>
          <w:p w14:paraId="70A3F7DC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I Love You Virus (2000)</w:t>
            </w:r>
          </w:p>
        </w:tc>
        <w:tc>
          <w:tcPr>
            <w:tcW w:w="2193" w:type="dxa"/>
            <w:shd w:val="clear" w:color="auto" w:fill="FFFFFF" w:themeFill="background1"/>
          </w:tcPr>
          <w:p w14:paraId="5D68B957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The "I Love You" virus infects an estimated 50 million computers.</w:t>
            </w:r>
          </w:p>
        </w:tc>
        <w:tc>
          <w:tcPr>
            <w:tcW w:w="2798" w:type="dxa"/>
            <w:shd w:val="clear" w:color="auto" w:fill="FFFFFF" w:themeFill="background1"/>
          </w:tcPr>
          <w:p w14:paraId="159B39B7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Highlighted the importance of user education and awareness about cybersecurity best practices.</w:t>
            </w:r>
          </w:p>
        </w:tc>
        <w:tc>
          <w:tcPr>
            <w:tcW w:w="2610" w:type="dxa"/>
            <w:shd w:val="clear" w:color="auto" w:fill="FFFFFF" w:themeFill="background1"/>
          </w:tcPr>
          <w:p w14:paraId="7F01E5A9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"I Love You Virus" by BBC News</w:t>
            </w:r>
          </w:p>
        </w:tc>
      </w:tr>
      <w:tr w:rsidR="00ED0DFB" w:rsidRPr="00E2122E" w14:paraId="385C2543" w14:textId="77777777" w:rsidTr="00E2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239EDFEF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1915" w:type="dxa"/>
            <w:shd w:val="clear" w:color="auto" w:fill="FFFFFF" w:themeFill="background1"/>
          </w:tcPr>
          <w:p w14:paraId="2101897A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Stuxnet (2010)</w:t>
            </w:r>
          </w:p>
        </w:tc>
        <w:tc>
          <w:tcPr>
            <w:tcW w:w="2193" w:type="dxa"/>
            <w:shd w:val="clear" w:color="auto" w:fill="FFFFFF" w:themeFill="background1"/>
          </w:tcPr>
          <w:p w14:paraId="5303C2E5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Stuxnet, a highly sophisticated computer worm, is discovered, targeting industrial control systems.</w:t>
            </w:r>
          </w:p>
        </w:tc>
        <w:tc>
          <w:tcPr>
            <w:tcW w:w="2798" w:type="dxa"/>
            <w:shd w:val="clear" w:color="auto" w:fill="FFFFFF" w:themeFill="background1"/>
          </w:tcPr>
          <w:p w14:paraId="5258A029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Demonstrated the potential for cyberattacks on critical infrastructure and led to increased focus on industrial control system security.</w:t>
            </w:r>
          </w:p>
        </w:tc>
        <w:tc>
          <w:tcPr>
            <w:tcW w:w="2610" w:type="dxa"/>
            <w:shd w:val="clear" w:color="auto" w:fill="FFFFFF" w:themeFill="background1"/>
          </w:tcPr>
          <w:p w14:paraId="2D051DFC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"Stuxnet" by Symantec</w:t>
            </w:r>
          </w:p>
        </w:tc>
      </w:tr>
      <w:tr w:rsidR="00ED0DFB" w:rsidRPr="00E2122E" w14:paraId="2B3AF599" w14:textId="77777777" w:rsidTr="00E2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420E5794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1915" w:type="dxa"/>
            <w:shd w:val="clear" w:color="auto" w:fill="FFFFFF" w:themeFill="background1"/>
          </w:tcPr>
          <w:p w14:paraId="3B42933F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Yahoo Data Breach (2013)</w:t>
            </w:r>
          </w:p>
        </w:tc>
        <w:tc>
          <w:tcPr>
            <w:tcW w:w="2193" w:type="dxa"/>
            <w:shd w:val="clear" w:color="auto" w:fill="FFFFFF" w:themeFill="background1"/>
          </w:tcPr>
          <w:p w14:paraId="0417A07F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Yahoo announces a data breach affecting 3 billion user accounts.</w:t>
            </w:r>
          </w:p>
        </w:tc>
        <w:tc>
          <w:tcPr>
            <w:tcW w:w="2798" w:type="dxa"/>
            <w:shd w:val="clear" w:color="auto" w:fill="FFFFFF" w:themeFill="background1"/>
          </w:tcPr>
          <w:p w14:paraId="1974DBFD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Highlighted the importance of robust password security, two-factor authentication, and breach notification laws.</w:t>
            </w:r>
          </w:p>
        </w:tc>
        <w:tc>
          <w:tcPr>
            <w:tcW w:w="2610" w:type="dxa"/>
            <w:shd w:val="clear" w:color="auto" w:fill="FFFFFF" w:themeFill="background1"/>
          </w:tcPr>
          <w:p w14:paraId="33284710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"Yahoo Data Breach" by Yahoo!</w:t>
            </w:r>
          </w:p>
        </w:tc>
      </w:tr>
      <w:tr w:rsidR="00ED0DFB" w:rsidRPr="00E2122E" w14:paraId="603AD726" w14:textId="77777777" w:rsidTr="00E2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0FECBEAF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1915" w:type="dxa"/>
            <w:shd w:val="clear" w:color="auto" w:fill="FFFFFF" w:themeFill="background1"/>
          </w:tcPr>
          <w:p w14:paraId="085BF9B9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WannaCry Ransomware (2017)</w:t>
            </w:r>
          </w:p>
        </w:tc>
        <w:tc>
          <w:tcPr>
            <w:tcW w:w="2193" w:type="dxa"/>
            <w:shd w:val="clear" w:color="auto" w:fill="FFFFFF" w:themeFill="background1"/>
          </w:tcPr>
          <w:p w14:paraId="4B87DFE2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WannaCry infects over 200,000 computers worldwide, causing widespread disruption.</w:t>
            </w:r>
          </w:p>
        </w:tc>
        <w:tc>
          <w:tcPr>
            <w:tcW w:w="2798" w:type="dxa"/>
            <w:shd w:val="clear" w:color="auto" w:fill="FFFFFF" w:themeFill="background1"/>
          </w:tcPr>
          <w:p w14:paraId="36A4CB5A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Demonstrated the potential for ransomware to disrupt critical infrastructure and highlighted the importance of patch management and vulnerability scanning.</w:t>
            </w:r>
          </w:p>
        </w:tc>
        <w:tc>
          <w:tcPr>
            <w:tcW w:w="2610" w:type="dxa"/>
            <w:shd w:val="clear" w:color="auto" w:fill="FFFFFF" w:themeFill="background1"/>
          </w:tcPr>
          <w:p w14:paraId="6B1A04E6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"WannaCry Ransomware" by National Cyber Security Centre</w:t>
            </w:r>
          </w:p>
        </w:tc>
      </w:tr>
      <w:tr w:rsidR="00ED0DFB" w:rsidRPr="00E2122E" w14:paraId="4DA143B7" w14:textId="77777777" w:rsidTr="00E2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4C5CC6B6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7.</w:t>
            </w:r>
          </w:p>
        </w:tc>
        <w:tc>
          <w:tcPr>
            <w:tcW w:w="1915" w:type="dxa"/>
            <w:shd w:val="clear" w:color="auto" w:fill="FFFFFF" w:themeFill="background1"/>
          </w:tcPr>
          <w:p w14:paraId="1E402244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2122E">
              <w:rPr>
                <w:rFonts w:ascii="Times New Roman" w:hAnsi="Times New Roman"/>
                <w:sz w:val="22"/>
                <w:szCs w:val="22"/>
              </w:rPr>
              <w:t>NotPetya</w:t>
            </w:r>
            <w:proofErr w:type="spellEnd"/>
            <w:r w:rsidRPr="00E2122E">
              <w:rPr>
                <w:rFonts w:ascii="Times New Roman" w:hAnsi="Times New Roman"/>
                <w:sz w:val="22"/>
                <w:szCs w:val="22"/>
              </w:rPr>
              <w:t xml:space="preserve"> Ransomware (2017)</w:t>
            </w:r>
          </w:p>
        </w:tc>
        <w:tc>
          <w:tcPr>
            <w:tcW w:w="2193" w:type="dxa"/>
            <w:shd w:val="clear" w:color="auto" w:fill="FFFFFF" w:themeFill="background1"/>
          </w:tcPr>
          <w:p w14:paraId="1D6F3EA2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2122E">
              <w:rPr>
                <w:rFonts w:ascii="Times New Roman" w:hAnsi="Times New Roman"/>
                <w:sz w:val="22"/>
                <w:szCs w:val="22"/>
              </w:rPr>
              <w:t>NotPetya</w:t>
            </w:r>
            <w:proofErr w:type="spellEnd"/>
            <w:r w:rsidRPr="00E2122E">
              <w:rPr>
                <w:rFonts w:ascii="Times New Roman" w:hAnsi="Times New Roman"/>
                <w:sz w:val="22"/>
                <w:szCs w:val="22"/>
              </w:rPr>
              <w:t xml:space="preserve"> infects computers worldwide, causing an estimated $10 billion in damages.</w:t>
            </w:r>
          </w:p>
        </w:tc>
        <w:tc>
          <w:tcPr>
            <w:tcW w:w="2798" w:type="dxa"/>
            <w:shd w:val="clear" w:color="auto" w:fill="FFFFFF" w:themeFill="background1"/>
          </w:tcPr>
          <w:p w14:paraId="4FC27B9B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Highlighted the potential for cyberattacks to cause significant economic damage and disrupt global supply chains.</w:t>
            </w:r>
          </w:p>
        </w:tc>
        <w:tc>
          <w:tcPr>
            <w:tcW w:w="2610" w:type="dxa"/>
            <w:shd w:val="clear" w:color="auto" w:fill="FFFFFF" w:themeFill="background1"/>
          </w:tcPr>
          <w:p w14:paraId="730CD055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"</w:t>
            </w:r>
            <w:proofErr w:type="spellStart"/>
            <w:r w:rsidRPr="00E2122E">
              <w:rPr>
                <w:rFonts w:ascii="Times New Roman" w:hAnsi="Times New Roman"/>
                <w:sz w:val="22"/>
                <w:szCs w:val="22"/>
              </w:rPr>
              <w:t>NotPetya</w:t>
            </w:r>
            <w:proofErr w:type="spellEnd"/>
            <w:r w:rsidRPr="00E2122E">
              <w:rPr>
                <w:rFonts w:ascii="Times New Roman" w:hAnsi="Times New Roman"/>
                <w:sz w:val="22"/>
                <w:szCs w:val="22"/>
              </w:rPr>
              <w:t xml:space="preserve"> Ransomware" by Cybersecurity and Infrastructure Security Agency</w:t>
            </w:r>
          </w:p>
        </w:tc>
      </w:tr>
      <w:tr w:rsidR="00ED0DFB" w:rsidRPr="00E2122E" w14:paraId="7D0EBBB0" w14:textId="77777777" w:rsidTr="00E2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3EAFA09E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8.</w:t>
            </w:r>
          </w:p>
        </w:tc>
        <w:tc>
          <w:tcPr>
            <w:tcW w:w="1915" w:type="dxa"/>
            <w:shd w:val="clear" w:color="auto" w:fill="FFFFFF" w:themeFill="background1"/>
          </w:tcPr>
          <w:p w14:paraId="72B19EC5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Equifax Data Breach (2017)</w:t>
            </w:r>
          </w:p>
        </w:tc>
        <w:tc>
          <w:tcPr>
            <w:tcW w:w="2193" w:type="dxa"/>
            <w:shd w:val="clear" w:color="auto" w:fill="FFFFFF" w:themeFill="background1"/>
          </w:tcPr>
          <w:p w14:paraId="2324CF73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Equifax announces a data breach affecting 147 million consumers.</w:t>
            </w:r>
          </w:p>
        </w:tc>
        <w:tc>
          <w:tcPr>
            <w:tcW w:w="2798" w:type="dxa"/>
            <w:shd w:val="clear" w:color="auto" w:fill="FFFFFF" w:themeFill="background1"/>
          </w:tcPr>
          <w:p w14:paraId="56372733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Highlighted the importance of robust data security, breach notification laws, and consumer protection.</w:t>
            </w:r>
          </w:p>
        </w:tc>
        <w:tc>
          <w:tcPr>
            <w:tcW w:w="2610" w:type="dxa"/>
            <w:shd w:val="clear" w:color="auto" w:fill="FFFFFF" w:themeFill="background1"/>
          </w:tcPr>
          <w:p w14:paraId="1CE7A0C1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"Equifax Data Breach" by Equifax</w:t>
            </w:r>
          </w:p>
        </w:tc>
      </w:tr>
      <w:tr w:rsidR="00ED0DFB" w:rsidRPr="00E2122E" w14:paraId="486C14B3" w14:textId="77777777" w:rsidTr="00E21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39435C41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1915" w:type="dxa"/>
            <w:shd w:val="clear" w:color="auto" w:fill="FFFFFF" w:themeFill="background1"/>
          </w:tcPr>
          <w:p w14:paraId="6836F344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Marriott International Data Breach (2018)</w:t>
            </w:r>
          </w:p>
        </w:tc>
        <w:tc>
          <w:tcPr>
            <w:tcW w:w="2193" w:type="dxa"/>
            <w:shd w:val="clear" w:color="auto" w:fill="FFFFFF" w:themeFill="background1"/>
          </w:tcPr>
          <w:p w14:paraId="1F1F66C0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Marriott International announces a data breach affecting 383 million guests.</w:t>
            </w:r>
          </w:p>
        </w:tc>
        <w:tc>
          <w:tcPr>
            <w:tcW w:w="2798" w:type="dxa"/>
            <w:shd w:val="clear" w:color="auto" w:fill="FFFFFF" w:themeFill="background1"/>
          </w:tcPr>
          <w:p w14:paraId="12B58E92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Highlighted the importance of robust data security, breach notification laws, and consumer protection in the hospitality industry.</w:t>
            </w:r>
          </w:p>
        </w:tc>
        <w:tc>
          <w:tcPr>
            <w:tcW w:w="2610" w:type="dxa"/>
            <w:shd w:val="clear" w:color="auto" w:fill="FFFFFF" w:themeFill="background1"/>
          </w:tcPr>
          <w:p w14:paraId="5A2B4111" w14:textId="77777777" w:rsidR="00ED0DFB" w:rsidRPr="00E2122E" w:rsidRDefault="00ED0DFB" w:rsidP="0086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"Marriott International Data Breach" by Marriott International</w:t>
            </w:r>
          </w:p>
        </w:tc>
      </w:tr>
      <w:tr w:rsidR="00ED0DFB" w:rsidRPr="00E2122E" w14:paraId="2A9A722F" w14:textId="77777777" w:rsidTr="00E21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FFFFFF" w:themeFill="background1"/>
          </w:tcPr>
          <w:p w14:paraId="7562E39A" w14:textId="77777777" w:rsidR="00ED0DFB" w:rsidRPr="00E2122E" w:rsidRDefault="00ED0DFB" w:rsidP="00862069">
            <w:pPr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1915" w:type="dxa"/>
            <w:shd w:val="clear" w:color="auto" w:fill="FFFFFF" w:themeFill="background1"/>
          </w:tcPr>
          <w:p w14:paraId="6DC27D35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SolarWinds Cyberattack (2020)</w:t>
            </w:r>
          </w:p>
        </w:tc>
        <w:tc>
          <w:tcPr>
            <w:tcW w:w="2193" w:type="dxa"/>
            <w:shd w:val="clear" w:color="auto" w:fill="FFFFFF" w:themeFill="background1"/>
          </w:tcPr>
          <w:p w14:paraId="594A5A9B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A cyberattack on SolarWinds compromises multiple government agencies and private companies.</w:t>
            </w:r>
          </w:p>
        </w:tc>
        <w:tc>
          <w:tcPr>
            <w:tcW w:w="2798" w:type="dxa"/>
            <w:shd w:val="clear" w:color="auto" w:fill="FFFFFF" w:themeFill="background1"/>
          </w:tcPr>
          <w:p w14:paraId="1482CBFF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Highlighted the potential for supply chain attacks and the importance of robust cybersecurity measures in the software development lifecycle.</w:t>
            </w:r>
          </w:p>
        </w:tc>
        <w:tc>
          <w:tcPr>
            <w:tcW w:w="2610" w:type="dxa"/>
            <w:shd w:val="clear" w:color="auto" w:fill="FFFFFF" w:themeFill="background1"/>
          </w:tcPr>
          <w:p w14:paraId="78D8A763" w14:textId="77777777" w:rsidR="00ED0DFB" w:rsidRPr="00E2122E" w:rsidRDefault="00ED0DFB" w:rsidP="00862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E2122E">
              <w:rPr>
                <w:rFonts w:ascii="Times New Roman" w:hAnsi="Times New Roman"/>
                <w:sz w:val="22"/>
                <w:szCs w:val="22"/>
              </w:rPr>
              <w:t>"SolarWinds Cyberattack" by Cybersecurity and Infrastructure Security Agency</w:t>
            </w:r>
          </w:p>
        </w:tc>
      </w:tr>
    </w:tbl>
    <w:p w14:paraId="021B3A3D" w14:textId="77777777" w:rsidR="00ED0DFB" w:rsidRPr="00E2122E" w:rsidRDefault="00ED0DFB" w:rsidP="00ED0DFB">
      <w:pPr>
        <w:rPr>
          <w:rFonts w:ascii="Times New Roman" w:hAnsi="Times New Roman"/>
          <w:sz w:val="22"/>
          <w:szCs w:val="22"/>
        </w:rPr>
      </w:pPr>
    </w:p>
    <w:p w14:paraId="6995DC5F" w14:textId="77777777" w:rsidR="00EC3F9E" w:rsidRPr="00E2122E" w:rsidRDefault="00EC3F9E">
      <w:pPr>
        <w:rPr>
          <w:sz w:val="22"/>
          <w:szCs w:val="22"/>
        </w:rPr>
      </w:pPr>
    </w:p>
    <w:sectPr w:rsidR="00EC3F9E" w:rsidRPr="00E2122E" w:rsidSect="00ED0DFB">
      <w:pgSz w:w="12240" w:h="15840" w:code="1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B"/>
    <w:rsid w:val="0007572D"/>
    <w:rsid w:val="002849D8"/>
    <w:rsid w:val="0089318F"/>
    <w:rsid w:val="009D7A0B"/>
    <w:rsid w:val="00D224D8"/>
    <w:rsid w:val="00D509F5"/>
    <w:rsid w:val="00E2122E"/>
    <w:rsid w:val="00EC3F9E"/>
    <w:rsid w:val="00ED0DFB"/>
    <w:rsid w:val="00F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9524"/>
  <w15:chartTrackingRefBased/>
  <w15:docId w15:val="{13AE6BB9-E48A-49A5-BA36-A7E42ED1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DFB"/>
  </w:style>
  <w:style w:type="paragraph" w:styleId="Heading1">
    <w:name w:val="heading 1"/>
    <w:basedOn w:val="Normal"/>
    <w:next w:val="Normal"/>
    <w:link w:val="Heading1Char"/>
    <w:uiPriority w:val="9"/>
    <w:qFormat/>
    <w:rsid w:val="00ED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D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0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12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212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212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181F-2A15-4A53-85BB-FBE8EA10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Adaji</dc:creator>
  <cp:keywords/>
  <dc:description/>
  <cp:lastModifiedBy>Joseph Adaji</cp:lastModifiedBy>
  <cp:revision>2</cp:revision>
  <dcterms:created xsi:type="dcterms:W3CDTF">2025-03-13T10:12:00Z</dcterms:created>
  <dcterms:modified xsi:type="dcterms:W3CDTF">2025-03-13T10:12:00Z</dcterms:modified>
</cp:coreProperties>
</file>