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b57"/>
          <w:sz w:val="56"/>
          <w:szCs w:val="56"/>
        </w:rPr>
        <w:t xml:space="preserve">INTERACTIVE SEERAH TIMELINE PLATFORM</w:t>
      </w:r>
    </w:p>
    <w:p>
      <w:pPr>
        <w:spacing w:after="60" w:before="200"/>
        <w:jc w:val="center"/>
      </w:pPr>
      <w:r>
        <w:rPr>
          <w:i/>
          <w:iCs/>
          <w:color w:val="8a6d3b"/>
          <w:sz w:val="32"/>
          <w:szCs w:val="32"/>
        </w:rPr>
        <w:t xml:space="preserve">Product &amp; Technical Blueprint</w:t>
      </w:r>
    </w:p>
    <w:p>
      <w:pPr>
        <w:spacing w:before="400"/>
        <w:jc w:val="center"/>
      </w:pPr>
      <w:r>
        <w:rPr>
          <w:i/>
          <w:iCs/>
          <w:color w:val="555555"/>
          <w:sz w:val="22"/>
          <w:szCs w:val="22"/>
        </w:rPr>
        <w:t xml:space="preserve">From isolated stories to a connected chronology of Prophetic and Islamic history</w:t>
      </w:r>
    </w:p>
    <w:p>
      <w:pPr>
        <w:spacing w:before="900"/>
        <w:jc w:val="center"/>
      </w:pPr>
      <w:r>
        <w:rPr>
          <w:b/>
          <w:bCs/>
          <w:sz w:val="20"/>
          <w:szCs w:val="20"/>
        </w:rPr>
        <w:t xml:space="preserve">Prepared by a cross-functional analysis team:</w:t>
      </w:r>
    </w:p>
    <w:p>
      <w:pPr>
        <w:spacing w:after="40"/>
        <w:jc w:val="center"/>
      </w:pPr>
      <w:r>
        <w:rPr>
          <w:sz w:val="20"/>
          <w:szCs w:val="20"/>
        </w:rPr>
        <w:t xml:space="preserve">Senior Product Manager · Islamic Research Specialist · Seerah Scholar</w:t>
      </w:r>
    </w:p>
    <w:p>
      <w:pPr>
        <w:spacing w:after="40"/>
        <w:jc w:val="center"/>
      </w:pPr>
      <w:r>
        <w:rPr>
          <w:sz w:val="20"/>
          <w:szCs w:val="20"/>
        </w:rPr>
        <w:t xml:space="preserve">UX/UI Designer · Software Architect · Data Architect · EdTech Expert</w:t>
      </w:r>
    </w:p>
    <w:p>
      <w:pPr>
        <w:spacing w:before="900"/>
        <w:jc w:val="center"/>
      </w:pPr>
      <w:r>
        <w:rPr>
          <w:color w:val="777777"/>
          <w:sz w:val="20"/>
          <w:szCs w:val="20"/>
        </w:rPr>
        <w:t xml:space="preserve">July 19, 2026</w:t>
      </w:r>
    </w:p>
    <w:p>
      <w:pPr>
        <w:spacing w:before="900"/>
        <w:jc w:val="center"/>
      </w:pPr>
      <w:r>
        <w:rPr>
          <w:i/>
          <w:iCs/>
          <w:color w:val="777777"/>
          <w:sz w:val="18"/>
          <w:szCs w:val="18"/>
        </w:rPr>
        <w:t xml:space="preserve">A note on scope: this document is a design and planning artifact, not a fatwa or a substitute for scholarly review. Every content and sourcing decision described here assumes ongoing oversight by qualified Islamic scholars before anything is published to end users.</w:t>
      </w:r>
    </w:p>
    <w:p>
      <w:r>
        <w:br w:type="page"/>
      </w:r>
    </w:p>
    <w:p>
      <w:pPr>
        <w:pStyle w:val="Heading1"/>
        <w:spacing w:after="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00"/>
      </w:pPr>
      <w:r>
        <w:t xml:space="preserve">Executive Summary</w:t>
      </w:r>
    </w:p>
    <w:p>
      <w:pPr>
        <w:spacing w:after="140" w:line="300"/>
      </w:pPr>
      <w:r>
        <w:rPr>
          <w:b w:val="false"/>
          <w:bCs w:val="false"/>
          <w:i w:val="false"/>
          <w:iCs w:val="false"/>
        </w:rPr>
        <w:t xml:space="preserve">Most Muslims know the Seerah as a set of separate stories — the boycott, the Hijrah, Badr, the Treaty of Hudaybiyyah — without a mental map of how those events caused, followed, or shaped one another, which Quranic verses were revealed alongside them, or which companions carried the events forward. That gap is not a content problem (excellent Seerah books already exist) — it is a visualization and connection problem. This document lays out the product, data, and technical plan for a platform whose core bet is that chronology and connection, rendered as an interactive, zoomable timeline, are more effective teaching tools than another article or app that retells the same stories in isolation.</w:t>
      </w:r>
    </w:p>
    <w:p>
      <w:pPr>
        <w:spacing w:after="140" w:line="300"/>
      </w:pPr>
      <w:r>
        <w:rPr>
          <w:b w:val="false"/>
          <w:bCs w:val="false"/>
          <w:i w:val="false"/>
          <w:iCs w:val="false"/>
        </w:rPr>
        <w:t xml:space="preserve">The recommended product is a web-first, interactive Seerah timeline: users zoom from decades down to individual days, click any event to see what happened, why, and who was involved, and from there branch outward into the Quranic verses revealed around it, the companions who took part, the geography of where it happened, and the lessons it teaches. Phase 1 covers the Prophet's سَيِّدنا مُحَمَّد صلى الله عليه وسلم life alone; later phases extend the same underlying data model to companions, the Quranic prophets, and Hadith-recorded events, converging on a single connected graph of Islamic history.</w:t>
      </w:r>
    </w:p>
    <w:p>
      <w:pPr>
        <w:spacing w:after="140" w:line="300"/>
      </w:pPr>
      <w:r>
        <w:rPr>
          <w:b w:val="false"/>
          <w:bCs w:val="false"/>
          <w:i w:val="false"/>
          <w:iCs w:val="false"/>
        </w:rPr>
        <w:t xml:space="preserve">Competitive research (Section 13) found real activity in this space — HijriTimeline, The Interactive Seerah, Prophetic Timeline, SirahMaps, and Atlas of the Quran all cover pieces of this vision — but no existing product combines a smooth zoomable timeline, an interactive historical map, a companion/relationship graph, and verse-and-hadith citations in one experience. That combination, not any single feature, is the differentiator and the reason this is buildable as a focused MVP rather than a moonshot.</w:t>
      </w:r>
    </w:p>
    <w:p>
      <w:pPr>
        <w:spacing w:after="140" w:line="300"/>
      </w:pPr>
      <w:r>
        <w:rPr>
          <w:b w:val="false"/>
          <w:bCs w:val="false"/>
          <w:i w:val="false"/>
          <w:iCs w:val="false"/>
        </w:rPr>
        <w:t xml:space="preserve">The hardest part of this product is not the front-end interaction design — it is building a data layer that is simultaneously visually explorable, scholarly-defensible, and honest about where sources disagree (dates, sequencing, and even some narrations are genuinely contested among scholars). Sections 5 through 7 treat this as a first-class design problem: every fact in the system carries a citation and a certainty tag, and a scholarly review workflow gates anything before it reaches a user.</w:t>
      </w:r>
    </w:p>
    <w:p>
      <w:pPr>
        <w:pStyle w:val="Heading1"/>
        <w:pageBreakBefore/>
        <w:spacing w:after="160" w:before="200"/>
      </w:pPr>
      <w:r>
        <w:t xml:space="preserve">1. Product Requirements Document</w:t>
      </w:r>
    </w:p>
    <w:p>
      <w:pPr>
        <w:pStyle w:val="Heading2"/>
        <w:spacing w:after="120" w:before="260"/>
      </w:pPr>
      <w:r>
        <w:t xml:space="preserve">1.1 Problem Statement</w:t>
      </w:r>
    </w:p>
    <w:p>
      <w:pPr>
        <w:spacing w:after="140" w:line="300"/>
      </w:pPr>
      <w:r>
        <w:rPr>
          <w:b w:val="false"/>
          <w:bCs w:val="false"/>
          <w:i w:val="false"/>
          <w:iCs w:val="false"/>
        </w:rPr>
        <w:t xml:space="preserve">Learners of the Seerah today face five compounding gaps: they know individual stories but not the chronology that links them; they cannot see which Quranic revelations correspond to which life events; they lack the political and tribal context (Quraysh politics, tribal alliances, the status of Madinah's Jewish tribes) that explains why events unfolded as they did; they don't see the web of relationships between people, places, and events; and because the material is consumed as flat text or video, it is quickly forgotten. Existing apps solve at most one of these (a timeline app, a map app, or a course app) — none solve all five together.</w:t>
      </w:r>
    </w:p>
    <w:p>
      <w:pPr>
        <w:pStyle w:val="Heading2"/>
        <w:spacing w:after="120" w:before="260"/>
      </w:pPr>
      <w:r>
        <w:t xml:space="preserve">1.2 Target Users</w:t>
      </w:r>
    </w:p>
    <w:p>
      <w:pPr>
        <w:spacing w:after="140" w:line="300"/>
      </w:pPr>
      <w:r>
        <w:rPr>
          <w:b w:val="false"/>
          <w:bCs w:val="false"/>
          <w:i w:val="false"/>
          <w:iCs w:val="false"/>
        </w:rPr>
        <w:t xml:space="preserve">Detailed personas are in Section 2. In summary, three user segments anchor the design:</w:t>
      </w:r>
    </w:p>
    <w:p>
      <w:pPr>
        <w:pStyle w:val="ListParagraph"/>
        <w:numPr>
          <w:ilvl w:val="0"/>
          <w:numId w:val="2"/>
        </w:numPr>
        <w:spacing w:after="70" w:line="280"/>
      </w:pPr>
      <w:r>
        <w:t xml:space="preserve">Self-directed learners (new Muslims, reverts, and lifelong Muslims filling gaps) who want a trustworthy, engaging way to finally “get” the chronology.</w:t>
      </w:r>
    </w:p>
    <w:p>
      <w:pPr>
        <w:pStyle w:val="ListParagraph"/>
        <w:numPr>
          <w:ilvl w:val="0"/>
          <w:numId w:val="2"/>
        </w:numPr>
        <w:spacing w:after="70" w:line="280"/>
      </w:pPr>
      <w:r>
        <w:t xml:space="preserve">Educators (weekend Islamic school teachers, homeschooling parents, halaqa leaders) who need ready-made, visual, citable material to teach from.</w:t>
      </w:r>
    </w:p>
    <w:p>
      <w:pPr>
        <w:pStyle w:val="ListParagraph"/>
        <w:numPr>
          <w:ilvl w:val="0"/>
          <w:numId w:val="2"/>
        </w:numPr>
        <w:spacing w:after="70" w:line="280"/>
      </w:pPr>
      <w:r>
        <w:t xml:space="preserve">Students and enthusiasts going deeper — people who already know the stories and want the connective tissue: verses, companions, geography, and disputed points.</w:t>
      </w:r>
    </w:p>
    <w:p>
      <w:pPr>
        <w:pStyle w:val="Heading2"/>
        <w:spacing w:after="120" w:before="260"/>
      </w:pPr>
      <w:r>
        <w:t xml:space="preserve">1.3 Goals &amp; Success Metrics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600"/>
        <w:gridCol w:w="4200"/>
      </w:tblGrid>
      <w:tr>
        <w:trPr>
          <w:tblHeader/>
        </w:trPr>
        <w:tc>
          <w:tcPr>
            <w:tcW w:type="dxa" w:w="5600"/>
            <w:shd w:fill="1f3b57" w:val="clear"/>
            <w:tcMar>
              <w:top w:type="dxa" w:w="80"/>
              <w:left w:type="dxa" w:w="100"/>
              <w:bottom w:type="dxa" w:w="80"/>
              <w:right w:type="dxa" w:w="100"/>
            </w:tcMar>
            <w:vAlign w:val="center"/>
          </w:tcPr>
          <w:p>
            <w:r>
              <w:rPr>
                <w:b/>
                <w:bCs/>
                <w:color w:val="FFFFFF"/>
                <w:sz w:val="19"/>
                <w:szCs w:val="19"/>
              </w:rPr>
              <w:t xml:space="preserve">Goal</w:t>
            </w:r>
          </w:p>
        </w:tc>
        <w:tc>
          <w:tcPr>
            <w:tcW w:type="dxa" w:w="4200"/>
            <w:shd w:fill="1f3b57" w:val="clear"/>
            <w:tcMar>
              <w:top w:type="dxa" w:w="80"/>
              <w:left w:type="dxa" w:w="100"/>
              <w:bottom w:type="dxa" w:w="80"/>
              <w:right w:type="dxa" w:w="100"/>
            </w:tcMar>
            <w:vAlign w:val="center"/>
          </w:tcPr>
          <w:p>
            <w:r>
              <w:rPr>
                <w:b/>
                <w:bCs/>
                <w:color w:val="FFFFFF"/>
                <w:sz w:val="19"/>
                <w:szCs w:val="19"/>
              </w:rPr>
              <w:t xml:space="preserve">How we measure it</w:t>
            </w:r>
          </w:p>
        </w:tc>
      </w:tr>
      <w:tr>
        <w:tc>
          <w:tcPr>
            <w:tcW w:type="dxa" w:w="5600"/>
            <w:tcMar>
              <w:top w:type="dxa" w:w="80"/>
              <w:left w:type="dxa" w:w="100"/>
              <w:bottom w:type="dxa" w:w="80"/>
              <w:right w:type="dxa" w:w="100"/>
            </w:tcMar>
            <w:vAlign w:val="center"/>
          </w:tcPr>
          <w:p>
            <w:r>
              <w:rPr>
                <w:b w:val="false"/>
                <w:bCs w:val="false"/>
                <w:color w:val="222222"/>
                <w:sz w:val="19"/>
                <w:szCs w:val="19"/>
              </w:rPr>
              <w:t xml:space="preserve">Users understand chronology, not just isolated stories</w:t>
            </w:r>
          </w:p>
        </w:tc>
        <w:tc>
          <w:tcPr>
            <w:tcW w:type="dxa" w:w="4200"/>
            <w:tcMar>
              <w:top w:type="dxa" w:w="80"/>
              <w:left w:type="dxa" w:w="100"/>
              <w:bottom w:type="dxa" w:w="80"/>
              <w:right w:type="dxa" w:w="100"/>
            </w:tcMar>
            <w:vAlign w:val="center"/>
          </w:tcPr>
          <w:p>
            <w:r>
              <w:rPr>
                <w:b w:val="false"/>
                <w:bCs w:val="false"/>
                <w:color w:val="222222"/>
                <w:sz w:val="19"/>
                <w:szCs w:val="19"/>
              </w:rPr>
              <w:t xml:space="preserve">Post-session quiz/recall lift; % of sessions that traverse ≥ 3 connected events (timeline → related event → related event)</w:t>
            </w:r>
          </w:p>
        </w:tc>
      </w:tr>
      <w:tr>
        <w:tc>
          <w:tcPr>
            <w:tcW w:type="dxa" w:w="5600"/>
            <w:shd w:fill="F2ECDF" w:val="clear"/>
            <w:tcMar>
              <w:top w:type="dxa" w:w="80"/>
              <w:left w:type="dxa" w:w="100"/>
              <w:bottom w:type="dxa" w:w="80"/>
              <w:right w:type="dxa" w:w="100"/>
            </w:tcMar>
            <w:vAlign w:val="center"/>
          </w:tcPr>
          <w:p>
            <w:r>
              <w:rPr>
                <w:b w:val="false"/>
                <w:bCs w:val="false"/>
                <w:color w:val="222222"/>
                <w:sz w:val="19"/>
                <w:szCs w:val="19"/>
              </w:rPr>
              <w:t xml:space="preserve">Content is trusted and citable</w:t>
            </w:r>
          </w:p>
        </w:tc>
        <w:tc>
          <w:tcPr>
            <w:tcW w:type="dxa" w:w="4200"/>
            <w:shd w:fill="F2ECDF" w:val="clear"/>
            <w:tcMar>
              <w:top w:type="dxa" w:w="80"/>
              <w:left w:type="dxa" w:w="100"/>
              <w:bottom w:type="dxa" w:w="80"/>
              <w:right w:type="dxa" w:w="100"/>
            </w:tcMar>
            <w:vAlign w:val="center"/>
          </w:tcPr>
          <w:p>
            <w:r>
              <w:rPr>
                <w:b w:val="false"/>
                <w:bCs w:val="false"/>
                <w:color w:val="222222"/>
                <w:sz w:val="19"/>
                <w:szCs w:val="19"/>
              </w:rPr>
              <w:t xml:space="preserve">% of events with ≥ 2 independent primary-source citations; scholarly advisory board sign-off rate before publish</w:t>
            </w:r>
          </w:p>
        </w:tc>
      </w:tr>
      <w:tr>
        <w:tc>
          <w:tcPr>
            <w:tcW w:type="dxa" w:w="5600"/>
            <w:tcMar>
              <w:top w:type="dxa" w:w="80"/>
              <w:left w:type="dxa" w:w="100"/>
              <w:bottom w:type="dxa" w:w="80"/>
              <w:right w:type="dxa" w:w="100"/>
            </w:tcMar>
            <w:vAlign w:val="center"/>
          </w:tcPr>
          <w:p>
            <w:r>
              <w:rPr>
                <w:b w:val="false"/>
                <w:bCs w:val="false"/>
                <w:color w:val="222222"/>
                <w:sz w:val="19"/>
                <w:szCs w:val="19"/>
              </w:rPr>
              <w:t xml:space="preserve">Product is genuinely used, not just visited once</w:t>
            </w:r>
          </w:p>
        </w:tc>
        <w:tc>
          <w:tcPr>
            <w:tcW w:type="dxa" w:w="4200"/>
            <w:tcMar>
              <w:top w:type="dxa" w:w="80"/>
              <w:left w:type="dxa" w:w="100"/>
              <w:bottom w:type="dxa" w:w="80"/>
              <w:right w:type="dxa" w:w="100"/>
            </w:tcMar>
            <w:vAlign w:val="center"/>
          </w:tcPr>
          <w:p>
            <w:r>
              <w:rPr>
                <w:b w:val="false"/>
                <w:bCs w:val="false"/>
                <w:color w:val="222222"/>
                <w:sz w:val="19"/>
                <w:szCs w:val="19"/>
              </w:rPr>
              <w:t xml:space="preserve">7-day and 30-day return rate; average events explored per session</w:t>
            </w:r>
          </w:p>
        </w:tc>
      </w:tr>
      <w:tr>
        <w:tc>
          <w:tcPr>
            <w:tcW w:type="dxa" w:w="5600"/>
            <w:shd w:fill="F2ECDF" w:val="clear"/>
            <w:tcMar>
              <w:top w:type="dxa" w:w="80"/>
              <w:left w:type="dxa" w:w="100"/>
              <w:bottom w:type="dxa" w:w="80"/>
              <w:right w:type="dxa" w:w="100"/>
            </w:tcMar>
            <w:vAlign w:val="center"/>
          </w:tcPr>
          <w:p>
            <w:r>
              <w:rPr>
                <w:b w:val="false"/>
                <w:bCs w:val="false"/>
                <w:color w:val="222222"/>
                <w:sz w:val="19"/>
                <w:szCs w:val="19"/>
              </w:rPr>
              <w:t xml:space="preserve">Educators adopt it as a teaching tool</w:t>
            </w:r>
          </w:p>
        </w:tc>
        <w:tc>
          <w:tcPr>
            <w:tcW w:type="dxa" w:w="4200"/>
            <w:shd w:fill="F2ECDF" w:val="clear"/>
            <w:tcMar>
              <w:top w:type="dxa" w:w="80"/>
              <w:left w:type="dxa" w:w="100"/>
              <w:bottom w:type="dxa" w:w="80"/>
              <w:right w:type="dxa" w:w="100"/>
            </w:tcMar>
            <w:vAlign w:val="center"/>
          </w:tcPr>
          <w:p>
            <w:r>
              <w:rPr>
                <w:b w:val="false"/>
                <w:bCs w:val="false"/>
                <w:color w:val="222222"/>
                <w:sz w:val="19"/>
                <w:szCs w:val="19"/>
              </w:rPr>
              <w:t xml:space="preserve"># of shared/exported learning paths; # of institutional (school/mosque) accounts</w:t>
            </w:r>
          </w:p>
        </w:tc>
      </w:tr>
      <w:tr>
        <w:tc>
          <w:tcPr>
            <w:tcW w:type="dxa" w:w="5600"/>
            <w:tcMar>
              <w:top w:type="dxa" w:w="80"/>
              <w:left w:type="dxa" w:w="100"/>
              <w:bottom w:type="dxa" w:w="80"/>
              <w:right w:type="dxa" w:w="100"/>
            </w:tcMar>
            <w:vAlign w:val="center"/>
          </w:tcPr>
          <w:p>
            <w:r>
              <w:rPr>
                <w:b w:val="false"/>
                <w:bCs w:val="false"/>
                <w:color w:val="222222"/>
                <w:sz w:val="19"/>
                <w:szCs w:val="19"/>
              </w:rPr>
              <w:t xml:space="preserve">Platform sustains itself</w:t>
            </w:r>
          </w:p>
        </w:tc>
        <w:tc>
          <w:tcPr>
            <w:tcW w:type="dxa" w:w="4200"/>
            <w:tcMar>
              <w:top w:type="dxa" w:w="80"/>
              <w:left w:type="dxa" w:w="100"/>
              <w:bottom w:type="dxa" w:w="80"/>
              <w:right w:type="dxa" w:w="100"/>
            </w:tcMar>
            <w:vAlign w:val="center"/>
          </w:tcPr>
          <w:p>
            <w:r>
              <w:rPr>
                <w:b w:val="false"/>
                <w:bCs w:val="false"/>
                <w:color w:val="222222"/>
                <w:sz w:val="19"/>
                <w:szCs w:val="19"/>
              </w:rPr>
              <w:t xml:space="preserve">Monthly recurring cost coverage via donations + premium + licensing (Section 14)</w:t>
            </w:r>
          </w:p>
        </w:tc>
      </w:tr>
    </w:tbl>
    <w:p>
      <w:pPr>
        <w:pStyle w:val="Heading2"/>
        <w:spacing w:after="120" w:before="260"/>
      </w:pPr>
      <w:r>
        <w:t xml:space="preserve">1.4 Core Features (Phase 1 depth)</w:t>
      </w:r>
    </w:p>
    <w:p>
      <w:pPr>
        <w:spacing w:after="140" w:line="300"/>
      </w:pPr>
      <w:r>
        <w:rPr>
          <w:b w:val="false"/>
          <w:bCs w:val="false"/>
          <w:i w:val="false"/>
          <w:iCs w:val="false"/>
        </w:rPr>
        <w:t xml:space="preserve">The homepage is an interactive timeline. Users can zoom from era-level (Pre-Islamic Arabia → Meccan period → Medinan period) down to year and event level, pan across years, and click any event. Clicking an event opens a detail view with five context panels:</w:t>
      </w:r>
    </w:p>
    <w:p>
      <w:pPr>
        <w:pStyle w:val="ListParagraph"/>
        <w:numPr>
          <w:ilvl w:val="0"/>
          <w:numId w:val="2"/>
        </w:numPr>
        <w:spacing w:after="70" w:line="280"/>
      </w:pPr>
      <w:r>
        <w:t xml:space="preserve">Event Summary — what happened, why it happened, who was involved, and its historical importance, written in plain language and grounded in cited sources.</w:t>
      </w:r>
    </w:p>
    <w:p>
      <w:pPr>
        <w:pStyle w:val="ListParagraph"/>
        <w:numPr>
          <w:ilvl w:val="0"/>
          <w:numId w:val="2"/>
        </w:numPr>
        <w:spacing w:after="70" w:line="280"/>
      </w:pPr>
      <w:r>
        <w:t xml:space="preserve">Timeline Context — what happened immediately before and after, and a “related events” rail (e.g., Badr surfaces Uhud as a consequence, and the earlier boycott of Banu Hashim as a precursor to the Hijrah).</w:t>
      </w:r>
    </w:p>
    <w:p>
      <w:pPr>
        <w:pStyle w:val="ListParagraph"/>
        <w:numPr>
          <w:ilvl w:val="0"/>
          <w:numId w:val="2"/>
        </w:numPr>
        <w:spacing w:after="70" w:line="280"/>
      </w:pPr>
      <w:r>
        <w:t xml:space="preserve">Quran Context — verses revealed in the surrounding period, which surah(s), and a short scholarly explanation of the connection (with tafsir citation), clearly distinguishing well-attested links from more speculative ones.</w:t>
      </w:r>
    </w:p>
    <w:p>
      <w:pPr>
        <w:pStyle w:val="ListParagraph"/>
        <w:numPr>
          <w:ilvl w:val="0"/>
          <w:numId w:val="2"/>
        </w:numPr>
        <w:spacing w:after="70" w:line="280"/>
      </w:pPr>
      <w:r>
        <w:t xml:space="preserve">Companion Context — key companions involved and their specific role in that event, linking out to their own (Phase 2) profile.</w:t>
      </w:r>
    </w:p>
    <w:p>
      <w:pPr>
        <w:pStyle w:val="ListParagraph"/>
        <w:numPr>
          <w:ilvl w:val="0"/>
          <w:numId w:val="2"/>
        </w:numPr>
        <w:spacing w:after="70" w:line="280"/>
      </w:pPr>
      <w:r>
        <w:t xml:space="preserve">Geographic Context — an interactive map showing the location(s), routes (e.g., the Hijrah route Makkah → Madinah via Thawr cave), and historical geography, without depicting any person.</w:t>
      </w:r>
    </w:p>
    <w:p>
      <w:pPr>
        <w:pStyle w:val="ListParagraph"/>
        <w:numPr>
          <w:ilvl w:val="0"/>
          <w:numId w:val="2"/>
        </w:numPr>
        <w:spacing w:after="70" w:line="280"/>
      </w:pPr>
      <w:r>
        <w:t xml:space="preserve">Lessons — practical, leadership, and spiritual lessons drawn from the event, kept distinct from the historical summary so users can quickly extract the “so what.”</w:t>
      </w:r>
    </w:p>
    <w:p>
      <w:pPr>
        <w:pStyle w:val="Heading2"/>
        <w:spacing w:after="120" w:before="260"/>
      </w:pPr>
      <w:r>
        <w:t xml:space="preserve">1.5 Non-Goals for Phase 1 (explicitly out of scope)</w:t>
      </w:r>
    </w:p>
    <w:p>
      <w:pPr>
        <w:pStyle w:val="ListParagraph"/>
        <w:numPr>
          <w:ilvl w:val="0"/>
          <w:numId w:val="2"/>
        </w:numPr>
        <w:spacing w:after="70" w:line="280"/>
      </w:pPr>
      <w:r>
        <w:t xml:space="preserve">Full companion biography timelines (Phase 2).</w:t>
      </w:r>
    </w:p>
    <w:p>
      <w:pPr>
        <w:pStyle w:val="ListParagraph"/>
        <w:numPr>
          <w:ilvl w:val="0"/>
          <w:numId w:val="2"/>
        </w:numPr>
        <w:spacing w:after="70" w:line="280"/>
      </w:pPr>
      <w:r>
        <w:t xml:space="preserve">Prophet-story timelines beyond Muhammad ◵ (Phase 3).</w:t>
      </w:r>
    </w:p>
    <w:p>
      <w:pPr>
        <w:pStyle w:val="ListParagraph"/>
        <w:numPr>
          <w:ilvl w:val="0"/>
          <w:numId w:val="2"/>
        </w:numPr>
        <w:spacing w:after="70" w:line="280"/>
      </w:pPr>
      <w:r>
        <w:t xml:space="preserve">Quran Event Explorer / thematic Quran map (Phase 4).</w:t>
      </w:r>
    </w:p>
    <w:p>
      <w:pPr>
        <w:pStyle w:val="ListParagraph"/>
        <w:numPr>
          <w:ilvl w:val="0"/>
          <w:numId w:val="2"/>
        </w:numPr>
        <w:spacing w:after="70" w:line="280"/>
      </w:pPr>
      <w:r>
        <w:t xml:space="preserve">A fully connected, freely-navigable knowledge graph UI across all entity types (Phase 5) — Phase 1 ships a constrained “related items” rail, not an open graph canvas.</w:t>
      </w:r>
    </w:p>
    <w:p>
      <w:pPr>
        <w:pStyle w:val="ListParagraph"/>
        <w:numPr>
          <w:ilvl w:val="0"/>
          <w:numId w:val="2"/>
        </w:numPr>
        <w:spacing w:after="70" w:line="280"/>
      </w:pPr>
      <w:r>
        <w:t xml:space="preserve">Native iOS/Android apps — Phase 1 is a responsive web app; native wrappers are a Phase 2+ decision once engagement is validated.</w:t>
      </w:r>
    </w:p>
    <w:p>
      <w:pPr>
        <w:pStyle w:val="ListParagraph"/>
        <w:numPr>
          <w:ilvl w:val="0"/>
          <w:numId w:val="2"/>
        </w:numPr>
        <w:spacing w:after="70" w:line="280"/>
      </w:pPr>
      <w:r>
        <w:t xml:space="preserve">AI chat / open-ended Q&amp;A — Phase 1 ships structured NL search only; conversational AI follows once the citation-grounding pipeline (Section 9) is proven.</w:t>
      </w:r>
    </w:p>
    <w:p>
      <w:pPr>
        <w:pStyle w:val="ListParagraph"/>
        <w:numPr>
          <w:ilvl w:val="0"/>
          <w:numId w:val="2"/>
        </w:numPr>
        <w:spacing w:after="70" w:line="280"/>
      </w:pPr>
      <w:r>
        <w:t xml:space="preserve">User accounts with social features (comments, profiles, forums) — religious content moderation at that scale is a Phase 3+ problem, not an MVP one.</w:t>
      </w:r>
    </w:p>
    <w:p>
      <w:pPr>
        <w:pStyle w:val="Heading2"/>
        <w:spacing w:after="120" w:before="260"/>
      </w:pPr>
      <w:r>
        <w:t xml:space="preserve">1.6 Design Principles</w:t>
      </w:r>
    </w:p>
    <w:p>
      <w:pPr>
        <w:pStyle w:val="ListParagraph"/>
        <w:numPr>
          <w:ilvl w:val="0"/>
          <w:numId w:val="2"/>
        </w:numPr>
        <w:spacing w:after="70" w:line="280"/>
      </w:pPr>
      <w:r>
        <w:t xml:space="preserve">Every claim is sourced. No fact ships without a citation to a named, gradeable source (Section 5.4).</w:t>
      </w:r>
    </w:p>
    <w:p>
      <w:pPr>
        <w:pStyle w:val="ListParagraph"/>
        <w:numPr>
          <w:ilvl w:val="0"/>
          <w:numId w:val="2"/>
        </w:numPr>
        <w:spacing w:after="70" w:line="280"/>
      </w:pPr>
      <w:r>
        <w:t xml:space="preserve">Disagreement is shown, not hidden. Where scholars differ on a date, sequence, or narration, the product says so rather than picking a side silently.</w:t>
      </w:r>
    </w:p>
    <w:p>
      <w:pPr>
        <w:pStyle w:val="ListParagraph"/>
        <w:numPr>
          <w:ilvl w:val="0"/>
          <w:numId w:val="2"/>
        </w:numPr>
        <w:spacing w:after="70" w:line="280"/>
      </w:pPr>
      <w:r>
        <w:t xml:space="preserve">No depiction of any prophet, and no depiction of companions in ways that could be mistaken for devotional imagery. Visual language leans on geography, architecture, calligraphy, and diagrams (Section 15).</w:t>
      </w:r>
    </w:p>
    <w:p>
      <w:pPr>
        <w:pStyle w:val="ListParagraph"/>
        <w:numPr>
          <w:ilvl w:val="0"/>
          <w:numId w:val="2"/>
        </w:numPr>
        <w:spacing w:after="70" w:line="280"/>
      </w:pPr>
      <w:r>
        <w:t xml:space="preserve">Design for retention, not just information delivery. Every screen should reinforce chronology and connection, the two things learners currently lack (Section on educational design below).</w:t>
      </w:r>
    </w:p>
    <w:p>
      <w:pPr>
        <w:pStyle w:val="ListParagraph"/>
        <w:numPr>
          <w:ilvl w:val="0"/>
          <w:numId w:val="2"/>
        </w:numPr>
        <w:spacing w:after="70" w:line="280"/>
      </w:pPr>
      <w:r>
        <w:t xml:space="preserve">Scholarly review gates publishing, always. Engineering and design velocity never bypasses the content review workflow.</w:t>
      </w:r>
    </w:p>
    <w:p>
      <w:pPr>
        <w:pStyle w:val="Heading2"/>
        <w:spacing w:after="120" w:before="260"/>
      </w:pPr>
      <w:r>
        <w:t xml:space="preserve">1.7 Scholarly Governance Model</w:t>
      </w:r>
    </w:p>
    <w:p>
      <w:pPr>
        <w:spacing w:after="140" w:line="300"/>
      </w:pPr>
      <w:r>
        <w:rPr>
          <w:b w:val="false"/>
          <w:bCs w:val="false"/>
          <w:i w:val="false"/>
          <w:iCs w:val="false"/>
        </w:rPr>
        <w:t xml:space="preserve">This is the single most important non-engineering workstream, and it needs to exist before the product does. Recommended structure: a small Scholarly Advisory Board (2–4 qualified scholars/students of knowledge with Seerah and Hadith background, ideally spanning different schools of thought to avoid sectarian framing) reviews and signs off on every event, relationship, and Quran/Hadith linkage before it is published; a Content/Research Lead (the “Islamic Research Specialist” role on this team) does the first-pass compilation from primary sources and maintains the citation database; and a lightweight versioned review workflow (draft → scholarly review → approved → published) is enforced in the CMS itself, not just as a process on paper. Contested points (e.g., exact chronological placement of some Meccan-period events, some numbers in battle accounts) are flagged with a visible “scholars differ” indicator rather than silently resolved by whichever source was compiled first.</w:t>
      </w:r>
    </w:p>
    <w:p>
      <w:pPr>
        <w:pStyle w:val="Heading1"/>
        <w:pageBreakBefore/>
        <w:spacing w:after="160" w:before="200"/>
      </w:pPr>
      <w:r>
        <w:t xml:space="preserve">2. User Personas</w:t>
      </w:r>
    </w:p>
    <w:p>
      <w:pPr>
        <w:spacing w:after="140" w:line="300"/>
      </w:pPr>
      <w:r>
        <w:rPr>
          <w:b w:val="false"/>
          <w:bCs w:val="false"/>
          <w:i w:val="false"/>
          <w:iCs w:val="false"/>
        </w:rPr>
        <w:t xml:space="preserve">Four personas anchor design decisions throughout this document. Each maps to a distinct primary need the timeline must satisfy.</w:t>
      </w:r>
    </w:p>
    <w:p>
      <w:pPr>
        <w:pStyle w:val="Heading2"/>
        <w:spacing w:after="120" w:before="260"/>
      </w:pPr>
      <w:r>
        <w:t xml:space="preserve">2.1 Yusuf — The New Muslim / Curious Revert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3b57" w:val="clear"/>
            <w:tcMar>
              <w:top w:type="dxa" w:w="80"/>
              <w:left w:type="dxa" w:w="100"/>
              <w:bottom w:type="dxa" w:w="80"/>
              <w:right w:type="dxa" w:w="100"/>
            </w:tcMar>
            <w:vAlign w:val="center"/>
          </w:tcPr>
          <w:p>
            <w:r>
              <w:rPr>
                <w:b/>
                <w:bCs/>
                <w:color w:val="FFFFFF"/>
                <w:sz w:val="19"/>
                <w:szCs w:val="19"/>
              </w:rPr>
              <w:t xml:space="preserve">Attribute</w:t>
            </w:r>
          </w:p>
        </w:tc>
        <w:tc>
          <w:tcPr>
            <w:tcW w:type="dxa" w:w="6600"/>
            <w:shd w:fill="1f3b57" w:val="clear"/>
            <w:tcMar>
              <w:top w:type="dxa" w:w="80"/>
              <w:left w:type="dxa" w:w="100"/>
              <w:bottom w:type="dxa" w:w="80"/>
              <w:right w:type="dxa" w:w="100"/>
            </w:tcMar>
            <w:vAlign w:val="center"/>
          </w:tcPr>
          <w:p>
            <w:r>
              <w:rPr>
                <w:b/>
                <w:bCs/>
                <w:color w:val="FFFFFF"/>
                <w:sz w:val="19"/>
                <w:szCs w:val="19"/>
              </w:rPr>
              <w:t xml:space="preserve">Detail</w:t>
            </w:r>
          </w:p>
        </w:tc>
      </w:tr>
      <w:tr>
        <w:tc>
          <w:tcPr>
            <w:tcW w:type="dxa" w:w="3000"/>
            <w:tcMar>
              <w:top w:type="dxa" w:w="80"/>
              <w:left w:type="dxa" w:w="100"/>
              <w:bottom w:type="dxa" w:w="80"/>
              <w:right w:type="dxa" w:w="100"/>
            </w:tcMar>
            <w:vAlign w:val="center"/>
          </w:tcPr>
          <w:p>
            <w:r>
              <w:rPr>
                <w:b w:val="false"/>
                <w:bCs w:val="false"/>
                <w:color w:val="222222"/>
                <w:sz w:val="19"/>
                <w:szCs w:val="19"/>
              </w:rPr>
              <w:t xml:space="preserve">Age / context</w:t>
            </w:r>
          </w:p>
        </w:tc>
        <w:tc>
          <w:tcPr>
            <w:tcW w:type="dxa" w:w="6600"/>
            <w:tcMar>
              <w:top w:type="dxa" w:w="80"/>
              <w:left w:type="dxa" w:w="100"/>
              <w:bottom w:type="dxa" w:w="80"/>
              <w:right w:type="dxa" w:w="100"/>
            </w:tcMar>
            <w:vAlign w:val="center"/>
          </w:tcPr>
          <w:p>
            <w:r>
              <w:rPr>
                <w:b w:val="false"/>
                <w:bCs w:val="false"/>
                <w:color w:val="222222"/>
                <w:sz w:val="19"/>
                <w:szCs w:val="19"/>
              </w:rPr>
              <w:t xml:space="preserve">27, converted 18 months ago, tech-comfortable, learns mostly from YouTube and apps</w:t>
            </w:r>
          </w:p>
        </w:tc>
      </w:tr>
      <w:tr>
        <w:tc>
          <w:tcPr>
            <w:tcW w:type="dxa" w:w="3000"/>
            <w:shd w:fill="F2ECDF" w:val="clear"/>
            <w:tcMar>
              <w:top w:type="dxa" w:w="80"/>
              <w:left w:type="dxa" w:w="100"/>
              <w:bottom w:type="dxa" w:w="80"/>
              <w:right w:type="dxa" w:w="100"/>
            </w:tcMar>
            <w:vAlign w:val="center"/>
          </w:tcPr>
          <w:p>
            <w:r>
              <w:rPr>
                <w:b w:val="false"/>
                <w:bCs w:val="false"/>
                <w:color w:val="222222"/>
                <w:sz w:val="19"/>
                <w:szCs w:val="19"/>
              </w:rPr>
              <w:t xml:space="preserve">Goal</w:t>
            </w:r>
          </w:p>
        </w:tc>
        <w:tc>
          <w:tcPr>
            <w:tcW w:type="dxa" w:w="6600"/>
            <w:shd w:fill="F2ECDF" w:val="clear"/>
            <w:tcMar>
              <w:top w:type="dxa" w:w="80"/>
              <w:left w:type="dxa" w:w="100"/>
              <w:bottom w:type="dxa" w:w="80"/>
              <w:right w:type="dxa" w:w="100"/>
            </w:tcMar>
            <w:vAlign w:val="center"/>
          </w:tcPr>
          <w:p>
            <w:r>
              <w:rPr>
                <w:b w:val="false"/>
                <w:bCs w:val="false"/>
                <w:color w:val="222222"/>
                <w:sz w:val="19"/>
                <w:szCs w:val="19"/>
              </w:rPr>
              <w:t xml:space="preserve">Build a mental map of “what actually happened” without wading through a 600-page book first</w:t>
            </w:r>
          </w:p>
        </w:tc>
      </w:tr>
      <w:tr>
        <w:tc>
          <w:tcPr>
            <w:tcW w:type="dxa" w:w="3000"/>
            <w:tcMar>
              <w:top w:type="dxa" w:w="80"/>
              <w:left w:type="dxa" w:w="100"/>
              <w:bottom w:type="dxa" w:w="80"/>
              <w:right w:type="dxa" w:w="100"/>
            </w:tcMar>
            <w:vAlign w:val="center"/>
          </w:tcPr>
          <w:p>
            <w:r>
              <w:rPr>
                <w:b w:val="false"/>
                <w:bCs w:val="false"/>
                <w:color w:val="222222"/>
                <w:sz w:val="19"/>
                <w:szCs w:val="19"/>
              </w:rPr>
              <w:t xml:space="preserve">Frustration</w:t>
            </w:r>
          </w:p>
        </w:tc>
        <w:tc>
          <w:tcPr>
            <w:tcW w:type="dxa" w:w="6600"/>
            <w:tcMar>
              <w:top w:type="dxa" w:w="80"/>
              <w:left w:type="dxa" w:w="100"/>
              <w:bottom w:type="dxa" w:w="80"/>
              <w:right w:type="dxa" w:w="100"/>
            </w:tcMar>
            <w:vAlign w:val="center"/>
          </w:tcPr>
          <w:p>
            <w:r>
              <w:rPr>
                <w:b w:val="false"/>
                <w:bCs w:val="false"/>
                <w:color w:val="222222"/>
                <w:sz w:val="19"/>
                <w:szCs w:val="19"/>
              </w:rPr>
              <w:t xml:space="preserve">Existing content assumes prior knowledge (names, places, tribal context) he doesn't have yet</w:t>
            </w:r>
          </w:p>
        </w:tc>
      </w:tr>
      <w:tr>
        <w:tc>
          <w:tcPr>
            <w:tcW w:type="dxa" w:w="3000"/>
            <w:shd w:fill="F2ECDF" w:val="clear"/>
            <w:tcMar>
              <w:top w:type="dxa" w:w="80"/>
              <w:left w:type="dxa" w:w="100"/>
              <w:bottom w:type="dxa" w:w="80"/>
              <w:right w:type="dxa" w:w="100"/>
            </w:tcMar>
            <w:vAlign w:val="center"/>
          </w:tcPr>
          <w:p>
            <w:r>
              <w:rPr>
                <w:b w:val="false"/>
                <w:bCs w:val="false"/>
                <w:color w:val="222222"/>
                <w:sz w:val="19"/>
                <w:szCs w:val="19"/>
              </w:rPr>
              <w:t xml:space="preserve">Product fit</w:t>
            </w:r>
          </w:p>
        </w:tc>
        <w:tc>
          <w:tcPr>
            <w:tcW w:type="dxa" w:w="6600"/>
            <w:shd w:fill="F2ECDF" w:val="clear"/>
            <w:tcMar>
              <w:top w:type="dxa" w:w="80"/>
              <w:left w:type="dxa" w:w="100"/>
              <w:bottom w:type="dxa" w:w="80"/>
              <w:right w:type="dxa" w:w="100"/>
            </w:tcMar>
            <w:vAlign w:val="center"/>
          </w:tcPr>
          <w:p>
            <w:r>
              <w:rPr>
                <w:b w:val="false"/>
                <w:bCs w:val="false"/>
                <w:color w:val="222222"/>
                <w:sz w:val="19"/>
                <w:szCs w:val="19"/>
              </w:rPr>
              <w:t xml:space="preserve">Zoomed-out era view + plain-language event summaries + a guided “start here” path through the 12–15 most pivotal events</w:t>
            </w:r>
          </w:p>
        </w:tc>
      </w:tr>
    </w:tbl>
    <w:p>
      <w:pPr>
        <w:pStyle w:val="Heading2"/>
        <w:spacing w:after="120" w:before="260"/>
      </w:pPr>
      <w:r>
        <w:t xml:space="preserve">2.2 Amira — The Weekend Islamic School Teacher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3b57" w:val="clear"/>
            <w:tcMar>
              <w:top w:type="dxa" w:w="80"/>
              <w:left w:type="dxa" w:w="100"/>
              <w:bottom w:type="dxa" w:w="80"/>
              <w:right w:type="dxa" w:w="100"/>
            </w:tcMar>
            <w:vAlign w:val="center"/>
          </w:tcPr>
          <w:p>
            <w:r>
              <w:rPr>
                <w:b/>
                <w:bCs/>
                <w:color w:val="FFFFFF"/>
                <w:sz w:val="19"/>
                <w:szCs w:val="19"/>
              </w:rPr>
              <w:t xml:space="preserve">Attribute</w:t>
            </w:r>
          </w:p>
        </w:tc>
        <w:tc>
          <w:tcPr>
            <w:tcW w:type="dxa" w:w="6600"/>
            <w:shd w:fill="1f3b57" w:val="clear"/>
            <w:tcMar>
              <w:top w:type="dxa" w:w="80"/>
              <w:left w:type="dxa" w:w="100"/>
              <w:bottom w:type="dxa" w:w="80"/>
              <w:right w:type="dxa" w:w="100"/>
            </w:tcMar>
            <w:vAlign w:val="center"/>
          </w:tcPr>
          <w:p>
            <w:r>
              <w:rPr>
                <w:b/>
                <w:bCs/>
                <w:color w:val="FFFFFF"/>
                <w:sz w:val="19"/>
                <w:szCs w:val="19"/>
              </w:rPr>
              <w:t xml:space="preserve">Detail</w:t>
            </w:r>
          </w:p>
        </w:tc>
      </w:tr>
      <w:tr>
        <w:tc>
          <w:tcPr>
            <w:tcW w:type="dxa" w:w="3000"/>
            <w:tcMar>
              <w:top w:type="dxa" w:w="80"/>
              <w:left w:type="dxa" w:w="100"/>
              <w:bottom w:type="dxa" w:w="80"/>
              <w:right w:type="dxa" w:w="100"/>
            </w:tcMar>
            <w:vAlign w:val="center"/>
          </w:tcPr>
          <w:p>
            <w:r>
              <w:rPr>
                <w:b w:val="false"/>
                <w:bCs w:val="false"/>
                <w:color w:val="222222"/>
                <w:sz w:val="19"/>
                <w:szCs w:val="19"/>
              </w:rPr>
              <w:t xml:space="preserve">Age / context</w:t>
            </w:r>
          </w:p>
        </w:tc>
        <w:tc>
          <w:tcPr>
            <w:tcW w:type="dxa" w:w="6600"/>
            <w:tcMar>
              <w:top w:type="dxa" w:w="80"/>
              <w:left w:type="dxa" w:w="100"/>
              <w:bottom w:type="dxa" w:w="80"/>
              <w:right w:type="dxa" w:w="100"/>
            </w:tcMar>
            <w:vAlign w:val="center"/>
          </w:tcPr>
          <w:p>
            <w:r>
              <w:rPr>
                <w:b w:val="false"/>
                <w:bCs w:val="false"/>
                <w:color w:val="222222"/>
                <w:sz w:val="19"/>
                <w:szCs w:val="19"/>
              </w:rPr>
              <w:t xml:space="preserve">34, teaches a Sunday Seerah class to 10–13 year-olds, unpaid volunteer, limited prep time</w:t>
            </w:r>
          </w:p>
        </w:tc>
      </w:tr>
      <w:tr>
        <w:tc>
          <w:tcPr>
            <w:tcW w:type="dxa" w:w="3000"/>
            <w:shd w:fill="F2ECDF" w:val="clear"/>
            <w:tcMar>
              <w:top w:type="dxa" w:w="80"/>
              <w:left w:type="dxa" w:w="100"/>
              <w:bottom w:type="dxa" w:w="80"/>
              <w:right w:type="dxa" w:w="100"/>
            </w:tcMar>
            <w:vAlign w:val="center"/>
          </w:tcPr>
          <w:p>
            <w:r>
              <w:rPr>
                <w:b w:val="false"/>
                <w:bCs w:val="false"/>
                <w:color w:val="222222"/>
                <w:sz w:val="19"/>
                <w:szCs w:val="19"/>
              </w:rPr>
              <w:t xml:space="preserve">Goal</w:t>
            </w:r>
          </w:p>
        </w:tc>
        <w:tc>
          <w:tcPr>
            <w:tcW w:type="dxa" w:w="6600"/>
            <w:shd w:fill="F2ECDF" w:val="clear"/>
            <w:tcMar>
              <w:top w:type="dxa" w:w="80"/>
              <w:left w:type="dxa" w:w="100"/>
              <w:bottom w:type="dxa" w:w="80"/>
              <w:right w:type="dxa" w:w="100"/>
            </w:tcMar>
            <w:vAlign w:val="center"/>
          </w:tcPr>
          <w:p>
            <w:r>
              <w:rPr>
                <w:b w:val="false"/>
                <w:bCs w:val="false"/>
                <w:color w:val="222222"/>
                <w:sz w:val="19"/>
                <w:szCs w:val="19"/>
              </w:rPr>
              <w:t xml:space="preserve">Pull a visually engaging, factually safe (citable) explanation of one event per week, presentable on a classroom screen</w:t>
            </w:r>
          </w:p>
        </w:tc>
      </w:tr>
      <w:tr>
        <w:tc>
          <w:tcPr>
            <w:tcW w:type="dxa" w:w="3000"/>
            <w:tcMar>
              <w:top w:type="dxa" w:w="80"/>
              <w:left w:type="dxa" w:w="100"/>
              <w:bottom w:type="dxa" w:w="80"/>
              <w:right w:type="dxa" w:w="100"/>
            </w:tcMar>
            <w:vAlign w:val="center"/>
          </w:tcPr>
          <w:p>
            <w:r>
              <w:rPr>
                <w:b w:val="false"/>
                <w:bCs w:val="false"/>
                <w:color w:val="222222"/>
                <w:sz w:val="19"/>
                <w:szCs w:val="19"/>
              </w:rPr>
              <w:t xml:space="preserve">Frustration</w:t>
            </w:r>
          </w:p>
        </w:tc>
        <w:tc>
          <w:tcPr>
            <w:tcW w:type="dxa" w:w="6600"/>
            <w:tcMar>
              <w:top w:type="dxa" w:w="80"/>
              <w:left w:type="dxa" w:w="100"/>
              <w:bottom w:type="dxa" w:w="80"/>
              <w:right w:type="dxa" w:w="100"/>
            </w:tcMar>
            <w:vAlign w:val="center"/>
          </w:tcPr>
          <w:p>
            <w:r>
              <w:rPr>
                <w:b w:val="false"/>
                <w:bCs w:val="false"/>
                <w:color w:val="222222"/>
                <w:sz w:val="19"/>
                <w:szCs w:val="19"/>
              </w:rPr>
              <w:t xml:space="preserve">Current materials are either children's storybooks (too shallow) or scholarly texts (too dense) — nothing in between with visuals</w:t>
            </w:r>
          </w:p>
        </w:tc>
      </w:tr>
      <w:tr>
        <w:tc>
          <w:tcPr>
            <w:tcW w:type="dxa" w:w="3000"/>
            <w:shd w:fill="F2ECDF" w:val="clear"/>
            <w:tcMar>
              <w:top w:type="dxa" w:w="80"/>
              <w:left w:type="dxa" w:w="100"/>
              <w:bottom w:type="dxa" w:w="80"/>
              <w:right w:type="dxa" w:w="100"/>
            </w:tcMar>
            <w:vAlign w:val="center"/>
          </w:tcPr>
          <w:p>
            <w:r>
              <w:rPr>
                <w:b w:val="false"/>
                <w:bCs w:val="false"/>
                <w:color w:val="222222"/>
                <w:sz w:val="19"/>
                <w:szCs w:val="19"/>
              </w:rPr>
              <w:t xml:space="preserve">Product fit</w:t>
            </w:r>
          </w:p>
        </w:tc>
        <w:tc>
          <w:tcPr>
            <w:tcW w:type="dxa" w:w="6600"/>
            <w:shd w:fill="F2ECDF" w:val="clear"/>
            <w:tcMar>
              <w:top w:type="dxa" w:w="80"/>
              <w:left w:type="dxa" w:w="100"/>
              <w:bottom w:type="dxa" w:w="80"/>
              <w:right w:type="dxa" w:w="100"/>
            </w:tcMar>
            <w:vAlign w:val="center"/>
          </w:tcPr>
          <w:p>
            <w:r>
              <w:rPr>
                <w:b w:val="false"/>
                <w:bCs w:val="false"/>
                <w:color w:val="222222"/>
                <w:sz w:val="19"/>
                <w:szCs w:val="19"/>
              </w:rPr>
              <w:t xml:space="preserve">Per-event view is self-contained and presentable as-is; “Lessons” panel gives her a discussion-ready takeaway; exportable/shareable event pages</w:t>
            </w:r>
          </w:p>
        </w:tc>
      </w:tr>
    </w:tbl>
    <w:p>
      <w:pPr>
        <w:pStyle w:val="Heading2"/>
        <w:spacing w:after="120" w:before="260"/>
      </w:pPr>
      <w:r>
        <w:t xml:space="preserve">2.3 Hamza — The Busy Professional Deepening His Knowledge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3b57" w:val="clear"/>
            <w:tcMar>
              <w:top w:type="dxa" w:w="80"/>
              <w:left w:type="dxa" w:w="100"/>
              <w:bottom w:type="dxa" w:w="80"/>
              <w:right w:type="dxa" w:w="100"/>
            </w:tcMar>
            <w:vAlign w:val="center"/>
          </w:tcPr>
          <w:p>
            <w:r>
              <w:rPr>
                <w:b/>
                <w:bCs/>
                <w:color w:val="FFFFFF"/>
                <w:sz w:val="19"/>
                <w:szCs w:val="19"/>
              </w:rPr>
              <w:t xml:space="preserve">Attribute</w:t>
            </w:r>
          </w:p>
        </w:tc>
        <w:tc>
          <w:tcPr>
            <w:tcW w:type="dxa" w:w="6600"/>
            <w:shd w:fill="1f3b57" w:val="clear"/>
            <w:tcMar>
              <w:top w:type="dxa" w:w="80"/>
              <w:left w:type="dxa" w:w="100"/>
              <w:bottom w:type="dxa" w:w="80"/>
              <w:right w:type="dxa" w:w="100"/>
            </w:tcMar>
            <w:vAlign w:val="center"/>
          </w:tcPr>
          <w:p>
            <w:r>
              <w:rPr>
                <w:b/>
                <w:bCs/>
                <w:color w:val="FFFFFF"/>
                <w:sz w:val="19"/>
                <w:szCs w:val="19"/>
              </w:rPr>
              <w:t xml:space="preserve">Detail</w:t>
            </w:r>
          </w:p>
        </w:tc>
      </w:tr>
      <w:tr>
        <w:tc>
          <w:tcPr>
            <w:tcW w:type="dxa" w:w="3000"/>
            <w:tcMar>
              <w:top w:type="dxa" w:w="80"/>
              <w:left w:type="dxa" w:w="100"/>
              <w:bottom w:type="dxa" w:w="80"/>
              <w:right w:type="dxa" w:w="100"/>
            </w:tcMar>
            <w:vAlign w:val="center"/>
          </w:tcPr>
          <w:p>
            <w:r>
              <w:rPr>
                <w:b w:val="false"/>
                <w:bCs w:val="false"/>
                <w:color w:val="222222"/>
                <w:sz w:val="19"/>
                <w:szCs w:val="19"/>
              </w:rPr>
              <w:t xml:space="preserve">Age / context</w:t>
            </w:r>
          </w:p>
        </w:tc>
        <w:tc>
          <w:tcPr>
            <w:tcW w:type="dxa" w:w="6600"/>
            <w:tcMar>
              <w:top w:type="dxa" w:w="80"/>
              <w:left w:type="dxa" w:w="100"/>
              <w:bottom w:type="dxa" w:w="80"/>
              <w:right w:type="dxa" w:w="100"/>
            </w:tcMar>
            <w:vAlign w:val="center"/>
          </w:tcPr>
          <w:p>
            <w:r>
              <w:rPr>
                <w:b w:val="false"/>
                <w:bCs w:val="false"/>
                <w:color w:val="222222"/>
                <w:sz w:val="19"/>
                <w:szCs w:val="19"/>
              </w:rPr>
              <w:t xml:space="preserve">41, grew up Muslim, knows the stories broadly, has 15–20 minutes a few evenings a week</w:t>
            </w:r>
          </w:p>
        </w:tc>
      </w:tr>
      <w:tr>
        <w:tc>
          <w:tcPr>
            <w:tcW w:type="dxa" w:w="3000"/>
            <w:shd w:fill="F2ECDF" w:val="clear"/>
            <w:tcMar>
              <w:top w:type="dxa" w:w="80"/>
              <w:left w:type="dxa" w:w="100"/>
              <w:bottom w:type="dxa" w:w="80"/>
              <w:right w:type="dxa" w:w="100"/>
            </w:tcMar>
            <w:vAlign w:val="center"/>
          </w:tcPr>
          <w:p>
            <w:r>
              <w:rPr>
                <w:b w:val="false"/>
                <w:bCs w:val="false"/>
                <w:color w:val="222222"/>
                <w:sz w:val="19"/>
                <w:szCs w:val="19"/>
              </w:rPr>
              <w:t xml:space="preserve">Goal</w:t>
            </w:r>
          </w:p>
        </w:tc>
        <w:tc>
          <w:tcPr>
            <w:tcW w:type="dxa" w:w="6600"/>
            <w:shd w:fill="F2ECDF" w:val="clear"/>
            <w:tcMar>
              <w:top w:type="dxa" w:w="80"/>
              <w:left w:type="dxa" w:w="100"/>
              <w:bottom w:type="dxa" w:w="80"/>
              <w:right w:type="dxa" w:w="100"/>
            </w:tcMar>
            <w:vAlign w:val="center"/>
          </w:tcPr>
          <w:p>
            <w:r>
              <w:rPr>
                <w:b w:val="false"/>
                <w:bCs w:val="false"/>
                <w:color w:val="222222"/>
                <w:sz w:val="19"/>
                <w:szCs w:val="19"/>
              </w:rPr>
              <w:t xml:space="preserve">Understand how events connect — why Uhud happened right after Badr, what Hudaybiyyah actually achieved politically</w:t>
            </w:r>
          </w:p>
        </w:tc>
      </w:tr>
      <w:tr>
        <w:tc>
          <w:tcPr>
            <w:tcW w:type="dxa" w:w="3000"/>
            <w:tcMar>
              <w:top w:type="dxa" w:w="80"/>
              <w:left w:type="dxa" w:w="100"/>
              <w:bottom w:type="dxa" w:w="80"/>
              <w:right w:type="dxa" w:w="100"/>
            </w:tcMar>
            <w:vAlign w:val="center"/>
          </w:tcPr>
          <w:p>
            <w:r>
              <w:rPr>
                <w:b w:val="false"/>
                <w:bCs w:val="false"/>
                <w:color w:val="222222"/>
                <w:sz w:val="19"/>
                <w:szCs w:val="19"/>
              </w:rPr>
              <w:t xml:space="preserve">Frustration</w:t>
            </w:r>
          </w:p>
        </w:tc>
        <w:tc>
          <w:tcPr>
            <w:tcW w:type="dxa" w:w="6600"/>
            <w:tcMar>
              <w:top w:type="dxa" w:w="80"/>
              <w:left w:type="dxa" w:w="100"/>
              <w:bottom w:type="dxa" w:w="80"/>
              <w:right w:type="dxa" w:w="100"/>
            </w:tcMar>
            <w:vAlign w:val="center"/>
          </w:tcPr>
          <w:p>
            <w:r>
              <w:rPr>
                <w:b w:val="false"/>
                <w:bCs w:val="false"/>
                <w:color w:val="222222"/>
                <w:sz w:val="19"/>
                <w:szCs w:val="19"/>
              </w:rPr>
              <w:t xml:space="preserve">Doesn't want another retelling; wants the connective, analytical layer between stories he already knows</w:t>
            </w:r>
          </w:p>
        </w:tc>
      </w:tr>
      <w:tr>
        <w:tc>
          <w:tcPr>
            <w:tcW w:type="dxa" w:w="3000"/>
            <w:shd w:fill="F2ECDF" w:val="clear"/>
            <w:tcMar>
              <w:top w:type="dxa" w:w="80"/>
              <w:left w:type="dxa" w:w="100"/>
              <w:bottom w:type="dxa" w:w="80"/>
              <w:right w:type="dxa" w:w="100"/>
            </w:tcMar>
            <w:vAlign w:val="center"/>
          </w:tcPr>
          <w:p>
            <w:r>
              <w:rPr>
                <w:b w:val="false"/>
                <w:bCs w:val="false"/>
                <w:color w:val="222222"/>
                <w:sz w:val="19"/>
                <w:szCs w:val="19"/>
              </w:rPr>
              <w:t xml:space="preserve">Product fit</w:t>
            </w:r>
          </w:p>
        </w:tc>
        <w:tc>
          <w:tcPr>
            <w:tcW w:type="dxa" w:w="6600"/>
            <w:shd w:fill="F2ECDF" w:val="clear"/>
            <w:tcMar>
              <w:top w:type="dxa" w:w="80"/>
              <w:left w:type="dxa" w:w="100"/>
              <w:bottom w:type="dxa" w:w="80"/>
              <w:right w:type="dxa" w:w="100"/>
            </w:tcMar>
            <w:vAlign w:val="center"/>
          </w:tcPr>
          <w:p>
            <w:r>
              <w:rPr>
                <w:b w:val="false"/>
                <w:bCs w:val="false"/>
                <w:color w:val="222222"/>
                <w:sz w:val="19"/>
                <w:szCs w:val="19"/>
              </w:rPr>
              <w:t xml:space="preserve">Related-events rail, geographic/political context panel, and (Phase 2+) the open knowledge graph view built exactly for this kind of lateral exploration</w:t>
            </w:r>
          </w:p>
        </w:tc>
      </w:tr>
    </w:tbl>
    <w:p>
      <w:pPr>
        <w:pStyle w:val="Heading2"/>
        <w:spacing w:after="120" w:before="260"/>
      </w:pPr>
      <w:r>
        <w:t xml:space="preserve">2.4 Dr. Layla — The Islamic Studies Student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3b57" w:val="clear"/>
            <w:tcMar>
              <w:top w:type="dxa" w:w="80"/>
              <w:left w:type="dxa" w:w="100"/>
              <w:bottom w:type="dxa" w:w="80"/>
              <w:right w:type="dxa" w:w="100"/>
            </w:tcMar>
            <w:vAlign w:val="center"/>
          </w:tcPr>
          <w:p>
            <w:r>
              <w:rPr>
                <w:b/>
                <w:bCs/>
                <w:color w:val="FFFFFF"/>
                <w:sz w:val="19"/>
                <w:szCs w:val="19"/>
              </w:rPr>
              <w:t xml:space="preserve">Attribute</w:t>
            </w:r>
          </w:p>
        </w:tc>
        <w:tc>
          <w:tcPr>
            <w:tcW w:type="dxa" w:w="6600"/>
            <w:shd w:fill="1f3b57" w:val="clear"/>
            <w:tcMar>
              <w:top w:type="dxa" w:w="80"/>
              <w:left w:type="dxa" w:w="100"/>
              <w:bottom w:type="dxa" w:w="80"/>
              <w:right w:type="dxa" w:w="100"/>
            </w:tcMar>
            <w:vAlign w:val="center"/>
          </w:tcPr>
          <w:p>
            <w:r>
              <w:rPr>
                <w:b/>
                <w:bCs/>
                <w:color w:val="FFFFFF"/>
                <w:sz w:val="19"/>
                <w:szCs w:val="19"/>
              </w:rPr>
              <w:t xml:space="preserve">Detail</w:t>
            </w:r>
          </w:p>
        </w:tc>
      </w:tr>
      <w:tr>
        <w:tc>
          <w:tcPr>
            <w:tcW w:type="dxa" w:w="3000"/>
            <w:tcMar>
              <w:top w:type="dxa" w:w="80"/>
              <w:left w:type="dxa" w:w="100"/>
              <w:bottom w:type="dxa" w:w="80"/>
              <w:right w:type="dxa" w:w="100"/>
            </w:tcMar>
            <w:vAlign w:val="center"/>
          </w:tcPr>
          <w:p>
            <w:r>
              <w:rPr>
                <w:b w:val="false"/>
                <w:bCs w:val="false"/>
                <w:color w:val="222222"/>
                <w:sz w:val="19"/>
                <w:szCs w:val="19"/>
              </w:rPr>
              <w:t xml:space="preserve">Age / context</w:t>
            </w:r>
          </w:p>
        </w:tc>
        <w:tc>
          <w:tcPr>
            <w:tcW w:type="dxa" w:w="6600"/>
            <w:tcMar>
              <w:top w:type="dxa" w:w="80"/>
              <w:left w:type="dxa" w:w="100"/>
              <w:bottom w:type="dxa" w:w="80"/>
              <w:right w:type="dxa" w:w="100"/>
            </w:tcMar>
            <w:vAlign w:val="center"/>
          </w:tcPr>
          <w:p>
            <w:r>
              <w:rPr>
                <w:b w:val="false"/>
                <w:bCs w:val="false"/>
                <w:color w:val="222222"/>
                <w:sz w:val="19"/>
                <w:szCs w:val="19"/>
              </w:rPr>
              <w:t xml:space="preserve">24, enrolled in an Islamic studies / Arabic program, needs to cite primary sources accurately</w:t>
            </w:r>
          </w:p>
        </w:tc>
      </w:tr>
      <w:tr>
        <w:tc>
          <w:tcPr>
            <w:tcW w:type="dxa" w:w="3000"/>
            <w:shd w:fill="F2ECDF" w:val="clear"/>
            <w:tcMar>
              <w:top w:type="dxa" w:w="80"/>
              <w:left w:type="dxa" w:w="100"/>
              <w:bottom w:type="dxa" w:w="80"/>
              <w:right w:type="dxa" w:w="100"/>
            </w:tcMar>
            <w:vAlign w:val="center"/>
          </w:tcPr>
          <w:p>
            <w:r>
              <w:rPr>
                <w:b w:val="false"/>
                <w:bCs w:val="false"/>
                <w:color w:val="222222"/>
                <w:sz w:val="19"/>
                <w:szCs w:val="19"/>
              </w:rPr>
              <w:t xml:space="preserve">Goal</w:t>
            </w:r>
          </w:p>
        </w:tc>
        <w:tc>
          <w:tcPr>
            <w:tcW w:type="dxa" w:w="6600"/>
            <w:shd w:fill="F2ECDF" w:val="clear"/>
            <w:tcMar>
              <w:top w:type="dxa" w:w="80"/>
              <w:left w:type="dxa" w:w="100"/>
              <w:bottom w:type="dxa" w:w="80"/>
              <w:right w:type="dxa" w:w="100"/>
            </w:tcMar>
            <w:vAlign w:val="center"/>
          </w:tcPr>
          <w:p>
            <w:r>
              <w:rPr>
                <w:b w:val="false"/>
                <w:bCs w:val="false"/>
                <w:color w:val="222222"/>
                <w:sz w:val="19"/>
                <w:szCs w:val="19"/>
              </w:rPr>
              <w:t xml:space="preserve">Quickly verify which sources support a claim, see where scholars disagree, and trace a verse back to its revelation context</w:t>
            </w:r>
          </w:p>
        </w:tc>
      </w:tr>
      <w:tr>
        <w:tc>
          <w:tcPr>
            <w:tcW w:type="dxa" w:w="3000"/>
            <w:tcMar>
              <w:top w:type="dxa" w:w="80"/>
              <w:left w:type="dxa" w:w="100"/>
              <w:bottom w:type="dxa" w:w="80"/>
              <w:right w:type="dxa" w:w="100"/>
            </w:tcMar>
            <w:vAlign w:val="center"/>
          </w:tcPr>
          <w:p>
            <w:r>
              <w:rPr>
                <w:b w:val="false"/>
                <w:bCs w:val="false"/>
                <w:color w:val="222222"/>
                <w:sz w:val="19"/>
                <w:szCs w:val="19"/>
              </w:rPr>
              <w:t xml:space="preserve">Frustration</w:t>
            </w:r>
          </w:p>
        </w:tc>
        <w:tc>
          <w:tcPr>
            <w:tcW w:type="dxa" w:w="6600"/>
            <w:tcMar>
              <w:top w:type="dxa" w:w="80"/>
              <w:left w:type="dxa" w:w="100"/>
              <w:bottom w:type="dxa" w:w="80"/>
              <w:right w:type="dxa" w:w="100"/>
            </w:tcMar>
            <w:vAlign w:val="center"/>
          </w:tcPr>
          <w:p>
            <w:r>
              <w:rPr>
                <w:b w:val="false"/>
                <w:bCs w:val="false"/>
                <w:color w:val="222222"/>
                <w:sz w:val="19"/>
                <w:szCs w:val="19"/>
              </w:rPr>
              <w:t xml:space="preserve">General-audience Islamic apps hide their sourcing; she needs citation-level rigor, not just a friendly summary</w:t>
            </w:r>
          </w:p>
        </w:tc>
      </w:tr>
      <w:tr>
        <w:tc>
          <w:tcPr>
            <w:tcW w:type="dxa" w:w="3000"/>
            <w:shd w:fill="F2ECDF" w:val="clear"/>
            <w:tcMar>
              <w:top w:type="dxa" w:w="80"/>
              <w:left w:type="dxa" w:w="100"/>
              <w:bottom w:type="dxa" w:w="80"/>
              <w:right w:type="dxa" w:w="100"/>
            </w:tcMar>
            <w:vAlign w:val="center"/>
          </w:tcPr>
          <w:p>
            <w:r>
              <w:rPr>
                <w:b w:val="false"/>
                <w:bCs w:val="false"/>
                <w:color w:val="222222"/>
                <w:sz w:val="19"/>
                <w:szCs w:val="19"/>
              </w:rPr>
              <w:t xml:space="preserve">Product fit</w:t>
            </w:r>
          </w:p>
        </w:tc>
        <w:tc>
          <w:tcPr>
            <w:tcW w:type="dxa" w:w="6600"/>
            <w:shd w:fill="F2ECDF" w:val="clear"/>
            <w:tcMar>
              <w:top w:type="dxa" w:w="80"/>
              <w:left w:type="dxa" w:w="100"/>
              <w:bottom w:type="dxa" w:w="80"/>
              <w:right w:type="dxa" w:w="100"/>
            </w:tcMar>
            <w:vAlign w:val="center"/>
          </w:tcPr>
          <w:p>
            <w:r>
              <w:rPr>
                <w:b w:val="false"/>
                <w:bCs w:val="false"/>
                <w:color w:val="222222"/>
                <w:sz w:val="19"/>
                <w:szCs w:val="19"/>
              </w:rPr>
              <w:t xml:space="preserve">Every fact is citation-tagged with source, page reference, and reliability tier (Section 5.4); “scholars differ” flags surface contested points instead of hiding them</w:t>
            </w:r>
          </w:p>
        </w:tc>
      </w:tr>
    </w:tbl>
    <w:p>
      <w:pPr>
        <w:pStyle w:val="Heading1"/>
        <w:pageBreakBefore/>
        <w:spacing w:after="160" w:before="200"/>
      </w:pPr>
      <w:r>
        <w:t xml:space="preserve">3. User Journeys</w:t>
      </w:r>
    </w:p>
    <w:p>
      <w:pPr>
        <w:pStyle w:val="Heading2"/>
        <w:spacing w:after="120" w:before="260"/>
      </w:pPr>
      <w:r>
        <w:t xml:space="preserve">3.1 Journey A — First Discovery (Yusuf)</w:t>
      </w:r>
    </w:p>
    <w:p>
      <w:pPr>
        <w:spacing w:after="140" w:line="300"/>
      </w:pPr>
      <w:r>
        <w:rPr>
          <w:b w:val="false"/>
          <w:bCs w:val="false"/>
          <w:i w:val="false"/>
          <w:iCs w:val="false"/>
        </w:rPr>
        <w:t xml:space="preserve">Yusuf searches “why did Muslims migrate to Madinah” → lands directly on the Hijrah event page (search indexes event summaries, not just titles) → reads the Event Summary and Timeline Context → notices the “what happened before” link to the Boycott of Banu Hashim and the Year of Sorrow → clicks through, building a chain → after 4–5 events he has organically reconstructed the causal path from the early Meccan persecution to the Hijrah, without ever opening a book or scrubbing a video timeline.</w:t>
      </w:r>
    </w:p>
    <w:p>
      <w:pPr>
        <w:pStyle w:val="Heading2"/>
        <w:spacing w:after="120" w:before="260"/>
      </w:pPr>
      <w:r>
        <w:t xml:space="preserve">3.2 Journey B — Lesson Prep (Amira)</w:t>
      </w:r>
    </w:p>
    <w:p>
      <w:pPr>
        <w:spacing w:after="140" w:line="300"/>
      </w:pPr>
      <w:r>
        <w:rPr>
          <w:b w:val="false"/>
          <w:bCs w:val="false"/>
          <w:i w:val="false"/>
          <w:iCs w:val="false"/>
        </w:rPr>
        <w:t xml:space="preserve">Amira opens the timeline, filters to “Battles,” selects Badr for this week's class → the event page gives her a summary, a map she can screen-share, three Lessons (reliance on God, the value of a small disciplined force, treatment of prisoners) and the two relevant verses from Surah Al-Anfal → she uses the built-in “present mode” (a simplified, distraction-free layout of the same event) directly on her classroom screen instead of building her own slides.</w:t>
      </w:r>
    </w:p>
    <w:p>
      <w:pPr>
        <w:pStyle w:val="Heading2"/>
        <w:spacing w:after="120" w:before="260"/>
      </w:pPr>
      <w:r>
        <w:t xml:space="preserve">3.3 Journey C — Lateral Exploration (Hamza)</w:t>
      </w:r>
    </w:p>
    <w:p>
      <w:pPr>
        <w:spacing w:after="140" w:line="300"/>
      </w:pPr>
      <w:r>
        <w:rPr>
          <w:b w:val="false"/>
          <w:bCs w:val="false"/>
          <w:i w:val="false"/>
          <w:iCs w:val="false"/>
        </w:rPr>
        <w:t xml:space="preserve">Hamza already knows Badr and Uhud happened close together but never understood why Uhud went the way it did → he opens Badr, follows “precedes / provokes” to Uhud → from Uhud's Companion Context panel he notices Hamza ibn Abd al-Muttalib was martyred there → clicks through to see (Phase 2) Hamza's short bio and role across earlier events → returns to the timeline having connected a person, two battles, and the political motive (Quraysh revenge) in one 12-minute session — the exact “relationship between events” understanding the product is built to produce.</w:t>
      </w:r>
    </w:p>
    <w:p>
      <w:pPr>
        <w:pStyle w:val="Heading1"/>
        <w:pageBreakBefore/>
        <w:spacing w:after="160" w:before="200"/>
      </w:pPr>
      <w:r>
        <w:t xml:space="preserve">4. Information Architecture</w:t>
      </w:r>
    </w:p>
    <w:p>
      <w:pPr>
        <w:pStyle w:val="Heading2"/>
        <w:spacing w:after="120" w:before="260"/>
      </w:pPr>
      <w:r>
        <w:t xml:space="preserve">4.1 Primary Navigation Model</w:t>
      </w:r>
    </w:p>
    <w:p>
      <w:pPr>
        <w:spacing w:after="140" w:line="300"/>
      </w:pPr>
      <w:r>
        <w:rPr>
          <w:b w:val="false"/>
          <w:bCs w:val="false"/>
          <w:i w:val="false"/>
          <w:iCs w:val="false"/>
        </w:rPr>
        <w:t xml:space="preserve">Four top-level surfaces, all reachable from a persistent top bar:</w:t>
      </w:r>
    </w:p>
    <w:p>
      <w:pPr>
        <w:pStyle w:val="ListParagraph"/>
        <w:numPr>
          <w:ilvl w:val="0"/>
          <w:numId w:val="2"/>
        </w:numPr>
        <w:spacing w:after="70" w:line="280"/>
      </w:pPr>
      <w:r>
        <w:t xml:space="preserve">Timeline (home) — the zoomable canvas; default entry point.</w:t>
      </w:r>
    </w:p>
    <w:p>
      <w:pPr>
        <w:pStyle w:val="ListParagraph"/>
        <w:numPr>
          <w:ilvl w:val="0"/>
          <w:numId w:val="2"/>
        </w:numPr>
        <w:spacing w:after="70" w:line="280"/>
      </w:pPr>
      <w:r>
        <w:t xml:space="preserve">Search — natural-language and keyword search across events, people, places, verses, and hadith (Section 9).</w:t>
      </w:r>
    </w:p>
    <w:p>
      <w:pPr>
        <w:pStyle w:val="ListParagraph"/>
        <w:numPr>
          <w:ilvl w:val="0"/>
          <w:numId w:val="2"/>
        </w:numPr>
        <w:spacing w:after="70" w:line="280"/>
      </w:pPr>
      <w:r>
        <w:t xml:space="preserve">Explore / Learning Paths — curated guided journeys (“Meccan Period in 10 Events,” “The Hijrah and Its Aftermath”) for users who want structure over free exploration.</w:t>
      </w:r>
    </w:p>
    <w:p>
      <w:pPr>
        <w:pStyle w:val="ListParagraph"/>
        <w:numPr>
          <w:ilvl w:val="0"/>
          <w:numId w:val="2"/>
        </w:numPr>
        <w:spacing w:after="70" w:line="280"/>
      </w:pPr>
      <w:r>
        <w:t xml:space="preserve">Library — a conventional browsable index (by era, by category: battles/revelations/treaties/migrations, by companion) for users who prefer lists to a spatial canvas — an accessibility and SEO-friendly fallback to the timeline.</w:t>
      </w:r>
    </w:p>
    <w:p>
      <w:pPr>
        <w:pStyle w:val="Heading2"/>
        <w:spacing w:after="120" w:before="260"/>
      </w:pPr>
      <w:r>
        <w:t xml:space="preserve">4.2 Zoom Levels on the Timeline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00"/>
      </w:tblGrid>
      <w:tr>
        <w:trPr>
          <w:tblHeader/>
        </w:trPr>
        <w:tc>
          <w:tcPr>
            <w:tcW w:type="dxa" w:w="2200"/>
            <w:shd w:fill="1f3b57" w:val="clear"/>
            <w:tcMar>
              <w:top w:type="dxa" w:w="80"/>
              <w:left w:type="dxa" w:w="100"/>
              <w:bottom w:type="dxa" w:w="80"/>
              <w:right w:type="dxa" w:w="100"/>
            </w:tcMar>
            <w:vAlign w:val="center"/>
          </w:tcPr>
          <w:p>
            <w:r>
              <w:rPr>
                <w:b/>
                <w:bCs/>
                <w:color w:val="FFFFFF"/>
                <w:sz w:val="19"/>
                <w:szCs w:val="19"/>
              </w:rPr>
              <w:t xml:space="preserve">Zoom level</w:t>
            </w:r>
          </w:p>
        </w:tc>
        <w:tc>
          <w:tcPr>
            <w:tcW w:type="dxa" w:w="4200"/>
            <w:shd w:fill="1f3b57" w:val="clear"/>
            <w:tcMar>
              <w:top w:type="dxa" w:w="80"/>
              <w:left w:type="dxa" w:w="100"/>
              <w:bottom w:type="dxa" w:w="80"/>
              <w:right w:type="dxa" w:w="100"/>
            </w:tcMar>
            <w:vAlign w:val="center"/>
          </w:tcPr>
          <w:p>
            <w:r>
              <w:rPr>
                <w:b/>
                <w:bCs/>
                <w:color w:val="FFFFFF"/>
                <w:sz w:val="19"/>
                <w:szCs w:val="19"/>
              </w:rPr>
              <w:t xml:space="preserve">What's shown</w:t>
            </w:r>
          </w:p>
        </w:tc>
        <w:tc>
          <w:tcPr>
            <w:tcW w:type="dxa" w:w="3200"/>
            <w:shd w:fill="1f3b57" w:val="clear"/>
            <w:tcMar>
              <w:top w:type="dxa" w:w="80"/>
              <w:left w:type="dxa" w:w="100"/>
              <w:bottom w:type="dxa" w:w="80"/>
              <w:right w:type="dxa" w:w="100"/>
            </w:tcMar>
            <w:vAlign w:val="center"/>
          </w:tcPr>
          <w:p>
            <w:r>
              <w:rPr>
                <w:b/>
                <w:bCs/>
                <w:color w:val="FFFFFF"/>
                <w:sz w:val="19"/>
                <w:szCs w:val="19"/>
              </w:rPr>
              <w:t xml:space="preserve">Example</w:t>
            </w:r>
          </w:p>
        </w:tc>
      </w:tr>
      <w:tr>
        <w:tc>
          <w:tcPr>
            <w:tcW w:type="dxa" w:w="2200"/>
            <w:tcMar>
              <w:top w:type="dxa" w:w="80"/>
              <w:left w:type="dxa" w:w="100"/>
              <w:bottom w:type="dxa" w:w="80"/>
              <w:right w:type="dxa" w:w="100"/>
            </w:tcMar>
            <w:vAlign w:val="center"/>
          </w:tcPr>
          <w:p>
            <w:r>
              <w:rPr>
                <w:b w:val="false"/>
                <w:bCs w:val="false"/>
                <w:color w:val="222222"/>
                <w:sz w:val="19"/>
                <w:szCs w:val="19"/>
              </w:rPr>
              <w:t xml:space="preserve">Era</w:t>
            </w:r>
          </w:p>
        </w:tc>
        <w:tc>
          <w:tcPr>
            <w:tcW w:type="dxa" w:w="4200"/>
            <w:tcMar>
              <w:top w:type="dxa" w:w="80"/>
              <w:left w:type="dxa" w:w="100"/>
              <w:bottom w:type="dxa" w:w="80"/>
              <w:right w:type="dxa" w:w="100"/>
            </w:tcMar>
            <w:vAlign w:val="center"/>
          </w:tcPr>
          <w:p>
            <w:r>
              <w:rPr>
                <w:b w:val="false"/>
                <w:bCs w:val="false"/>
                <w:color w:val="222222"/>
                <w:sz w:val="19"/>
                <w:szCs w:val="19"/>
              </w:rPr>
              <w:t xml:space="preserve">5–8 major era blocks with a one-line label</w:t>
            </w:r>
          </w:p>
        </w:tc>
        <w:tc>
          <w:tcPr>
            <w:tcW w:type="dxa" w:w="3200"/>
            <w:tcMar>
              <w:top w:type="dxa" w:w="80"/>
              <w:left w:type="dxa" w:w="100"/>
              <w:bottom w:type="dxa" w:w="80"/>
              <w:right w:type="dxa" w:w="100"/>
            </w:tcMar>
            <w:vAlign w:val="center"/>
          </w:tcPr>
          <w:p>
            <w:r>
              <w:rPr>
                <w:b w:val="false"/>
                <w:bCs w:val="false"/>
                <w:color w:val="222222"/>
                <w:sz w:val="19"/>
                <w:szCs w:val="19"/>
              </w:rPr>
              <w:t xml:space="preserve">“Pre-Islamic Arabia,” “Meccan Period (610–622 CE),” “Medinan Period (622–632 CE)”</w:t>
            </w:r>
          </w:p>
        </w:tc>
      </w:tr>
      <w:tr>
        <w:tc>
          <w:tcPr>
            <w:tcW w:type="dxa" w:w="2200"/>
            <w:shd w:fill="F2ECDF" w:val="clear"/>
            <w:tcMar>
              <w:top w:type="dxa" w:w="80"/>
              <w:left w:type="dxa" w:w="100"/>
              <w:bottom w:type="dxa" w:w="80"/>
              <w:right w:type="dxa" w:w="100"/>
            </w:tcMar>
            <w:vAlign w:val="center"/>
          </w:tcPr>
          <w:p>
            <w:r>
              <w:rPr>
                <w:b w:val="false"/>
                <w:bCs w:val="false"/>
                <w:color w:val="222222"/>
                <w:sz w:val="19"/>
                <w:szCs w:val="19"/>
              </w:rPr>
              <w:t xml:space="preserve">Year band</w:t>
            </w:r>
          </w:p>
        </w:tc>
        <w:tc>
          <w:tcPr>
            <w:tcW w:type="dxa" w:w="4200"/>
            <w:shd w:fill="F2ECDF" w:val="clear"/>
            <w:tcMar>
              <w:top w:type="dxa" w:w="80"/>
              <w:left w:type="dxa" w:w="100"/>
              <w:bottom w:type="dxa" w:w="80"/>
              <w:right w:type="dxa" w:w="100"/>
            </w:tcMar>
            <w:vAlign w:val="center"/>
          </w:tcPr>
          <w:p>
            <w:r>
              <w:rPr>
                <w:b w:val="false"/>
                <w:bCs w:val="false"/>
                <w:color w:val="222222"/>
                <w:sz w:val="19"/>
                <w:szCs w:val="19"/>
              </w:rPr>
              <w:t xml:space="preserve">Individual years within an era, event density indicated visually</w:t>
            </w:r>
          </w:p>
        </w:tc>
        <w:tc>
          <w:tcPr>
            <w:tcW w:type="dxa" w:w="3200"/>
            <w:shd w:fill="F2ECDF" w:val="clear"/>
            <w:tcMar>
              <w:top w:type="dxa" w:w="80"/>
              <w:left w:type="dxa" w:w="100"/>
              <w:bottom w:type="dxa" w:w="80"/>
              <w:right w:type="dxa" w:w="100"/>
            </w:tcMar>
            <w:vAlign w:val="center"/>
          </w:tcPr>
          <w:p>
            <w:r>
              <w:rPr>
                <w:b w:val="false"/>
                <w:bCs w:val="false"/>
                <w:color w:val="222222"/>
                <w:sz w:val="19"/>
                <w:szCs w:val="19"/>
              </w:rPr>
              <w:t xml:space="preserve">610–613 CE showing the first revelations cluster</w:t>
            </w:r>
          </w:p>
        </w:tc>
      </w:tr>
      <w:tr>
        <w:tc>
          <w:tcPr>
            <w:tcW w:type="dxa" w:w="2200"/>
            <w:tcMar>
              <w:top w:type="dxa" w:w="80"/>
              <w:left w:type="dxa" w:w="100"/>
              <w:bottom w:type="dxa" w:w="80"/>
              <w:right w:type="dxa" w:w="100"/>
            </w:tcMar>
            <w:vAlign w:val="center"/>
          </w:tcPr>
          <w:p>
            <w:r>
              <w:rPr>
                <w:b w:val="false"/>
                <w:bCs w:val="false"/>
                <w:color w:val="222222"/>
                <w:sz w:val="19"/>
                <w:szCs w:val="19"/>
              </w:rPr>
              <w:t xml:space="preserve">Event cluster</w:t>
            </w:r>
          </w:p>
        </w:tc>
        <w:tc>
          <w:tcPr>
            <w:tcW w:type="dxa" w:w="4200"/>
            <w:tcMar>
              <w:top w:type="dxa" w:w="80"/>
              <w:left w:type="dxa" w:w="100"/>
              <w:bottom w:type="dxa" w:w="80"/>
              <w:right w:type="dxa" w:w="100"/>
            </w:tcMar>
            <w:vAlign w:val="center"/>
          </w:tcPr>
          <w:p>
            <w:r>
              <w:rPr>
                <w:b w:val="false"/>
                <w:bCs w:val="false"/>
                <w:color w:val="222222"/>
                <w:sz w:val="19"/>
                <w:szCs w:val="19"/>
              </w:rPr>
              <w:t xml:space="preserve">Individual event markers, grouped when dense</w:t>
            </w:r>
          </w:p>
        </w:tc>
        <w:tc>
          <w:tcPr>
            <w:tcW w:type="dxa" w:w="3200"/>
            <w:tcMar>
              <w:top w:type="dxa" w:w="80"/>
              <w:left w:type="dxa" w:w="100"/>
              <w:bottom w:type="dxa" w:w="80"/>
              <w:right w:type="dxa" w:w="100"/>
            </w:tcMar>
            <w:vAlign w:val="center"/>
          </w:tcPr>
          <w:p>
            <w:r>
              <w:rPr>
                <w:b w:val="false"/>
                <w:bCs w:val="false"/>
                <w:color w:val="222222"/>
                <w:sz w:val="19"/>
                <w:szCs w:val="19"/>
              </w:rPr>
              <w:t xml:space="preserve">First Revelation, early converts, public preaching</w:t>
            </w:r>
          </w:p>
        </w:tc>
      </w:tr>
      <w:tr>
        <w:tc>
          <w:tcPr>
            <w:tcW w:type="dxa" w:w="2200"/>
            <w:shd w:fill="F2ECDF" w:val="clear"/>
            <w:tcMar>
              <w:top w:type="dxa" w:w="80"/>
              <w:left w:type="dxa" w:w="100"/>
              <w:bottom w:type="dxa" w:w="80"/>
              <w:right w:type="dxa" w:w="100"/>
            </w:tcMar>
            <w:vAlign w:val="center"/>
          </w:tcPr>
          <w:p>
            <w:r>
              <w:rPr>
                <w:b w:val="false"/>
                <w:bCs w:val="false"/>
                <w:color w:val="222222"/>
                <w:sz w:val="19"/>
                <w:szCs w:val="19"/>
              </w:rPr>
              <w:t xml:space="preserve">Event detail</w:t>
            </w:r>
          </w:p>
        </w:tc>
        <w:tc>
          <w:tcPr>
            <w:tcW w:type="dxa" w:w="4200"/>
            <w:shd w:fill="F2ECDF" w:val="clear"/>
            <w:tcMar>
              <w:top w:type="dxa" w:w="80"/>
              <w:left w:type="dxa" w:w="100"/>
              <w:bottom w:type="dxa" w:w="80"/>
              <w:right w:type="dxa" w:w="100"/>
            </w:tcMar>
            <w:vAlign w:val="center"/>
          </w:tcPr>
          <w:p>
            <w:r>
              <w:rPr>
                <w:b w:val="false"/>
                <w:bCs w:val="false"/>
                <w:color w:val="222222"/>
                <w:sz w:val="19"/>
                <w:szCs w:val="19"/>
              </w:rPr>
              <w:t xml:space="preserve">Full five-panel event view (Section 1.4)</w:t>
            </w:r>
          </w:p>
        </w:tc>
        <w:tc>
          <w:tcPr>
            <w:tcW w:type="dxa" w:w="3200"/>
            <w:shd w:fill="F2ECDF" w:val="clear"/>
            <w:tcMar>
              <w:top w:type="dxa" w:w="80"/>
              <w:left w:type="dxa" w:w="100"/>
              <w:bottom w:type="dxa" w:w="80"/>
              <w:right w:type="dxa" w:w="100"/>
            </w:tcMar>
            <w:vAlign w:val="center"/>
          </w:tcPr>
          <w:p>
            <w:r>
              <w:rPr>
                <w:b w:val="false"/>
                <w:bCs w:val="false"/>
                <w:color w:val="222222"/>
                <w:sz w:val="19"/>
                <w:szCs w:val="19"/>
              </w:rPr>
              <w:t xml:space="preserve">Battle of Badr detail page</w:t>
            </w:r>
          </w:p>
        </w:tc>
      </w:tr>
    </w:tbl>
    <w:p>
      <w:pPr>
        <w:pStyle w:val="Heading2"/>
        <w:spacing w:after="120" w:before="260"/>
      </w:pPr>
      <w:r>
        <w:t xml:space="preserve">4.3 Entity Page Types</w:t>
      </w:r>
    </w:p>
    <w:p>
      <w:pPr>
        <w:spacing w:after="140" w:line="300"/>
      </w:pPr>
      <w:r>
        <w:rPr>
          <w:b w:val="false"/>
          <w:bCs w:val="false"/>
          <w:i w:val="false"/>
          <w:iCs w:val="false"/>
        </w:rPr>
        <w:t xml:space="preserve">Beyond events, the IA includes standalone pages for each core entity so anything can be deep-linked and cross-referenced: Person pages (Phase 1: brief companion/family cards; full profiles in Phase 2), Place pages (with map + every event that occurred there), Surah pages (revelation context + every linked event), and Hadith pages (text, grading, and every linked event). This mirrors the data model in Section 5 directly — the IA is not a separate design exercise from the data architecture, it is the data model's user-facing shape.</w:t>
      </w:r>
    </w:p>
    <w:p>
      <w:pPr>
        <w:pStyle w:val="Heading1"/>
        <w:pageBreakBefore/>
        <w:spacing w:after="160" w:before="200"/>
      </w:pPr>
      <w:r>
        <w:t xml:space="preserve">5. Data Architecture</w:t>
      </w:r>
    </w:p>
    <w:p>
      <w:pPr>
        <w:pStyle w:val="Heading2"/>
        <w:spacing w:after="120" w:before="260"/>
      </w:pPr>
      <w:r>
        <w:t xml:space="preserve">5.1 Core Entities</w:t>
      </w:r>
    </w:p>
    <w:p>
      <w:pPr>
        <w:spacing w:after="140" w:line="300"/>
      </w:pPr>
      <w:r>
        <w:rPr>
          <w:b w:val="false"/>
          <w:bCs w:val="false"/>
          <w:i w:val="false"/>
          <w:iCs w:val="false"/>
        </w:rPr>
        <w:t xml:space="preserve">Nine entity types cover Phase 1 through Phase 5 without requiring a schema rewrite as scope expands:</w:t>
      </w:r>
    </w:p>
    <w:p>
      <w:pPr>
        <w:pStyle w:val="ListParagraph"/>
        <w:numPr>
          <w:ilvl w:val="0"/>
          <w:numId w:val="2"/>
        </w:numPr>
        <w:spacing w:after="70" w:line="280"/>
      </w:pPr>
      <w:r>
        <w:t xml:space="preserve">Event — a discrete historical occurrence (Hijrah, Battle of Badr, First Revelation) with Hijri and Gregorian dates, era, summary, significance, and a certainty_level field for disputed dating.</w:t>
      </w:r>
    </w:p>
    <w:p>
      <w:pPr>
        <w:pStyle w:val="ListParagraph"/>
        <w:numPr>
          <w:ilvl w:val="0"/>
          <w:numId w:val="2"/>
        </w:numPr>
        <w:spacing w:after="70" w:line="280"/>
      </w:pPr>
      <w:r>
        <w:t xml:space="preserve">Person — prophets, companions, family members, and adversaries, tagged by role_type so the same table serves the Phase 1 companion-mention use case and the full Phase 2 companion-timeline expansion.</w:t>
      </w:r>
    </w:p>
    <w:p>
      <w:pPr>
        <w:pStyle w:val="ListParagraph"/>
        <w:numPr>
          <w:ilvl w:val="0"/>
          <w:numId w:val="2"/>
        </w:numPr>
        <w:spacing w:after="70" w:line="280"/>
      </w:pPr>
      <w:r>
        <w:t xml:space="preserve">Place — named locations with coordinates and a valid-period range (place names and boundaries shift over 1,400 years).</w:t>
      </w:r>
    </w:p>
    <w:p>
      <w:pPr>
        <w:pStyle w:val="ListParagraph"/>
        <w:numPr>
          <w:ilvl w:val="0"/>
          <w:numId w:val="2"/>
        </w:numPr>
        <w:spacing w:after="70" w:line="280"/>
      </w:pPr>
      <w:r>
        <w:t xml:space="preserve">Surah / Verse — Quran structure and text, with revelation place/order and asbab al-nuzul (reason for revelation) text.</w:t>
      </w:r>
    </w:p>
    <w:p>
      <w:pPr>
        <w:pStyle w:val="ListParagraph"/>
        <w:numPr>
          <w:ilvl w:val="0"/>
          <w:numId w:val="2"/>
        </w:numPr>
        <w:spacing w:after="70" w:line="280"/>
      </w:pPr>
      <w:r>
        <w:t xml:space="preserve">Hadith — narrations with collection, book/number reference, grading, and narrator chain.</w:t>
      </w:r>
    </w:p>
    <w:p>
      <w:pPr>
        <w:pStyle w:val="ListParagraph"/>
        <w:numPr>
          <w:ilvl w:val="0"/>
          <w:numId w:val="2"/>
        </w:numPr>
        <w:spacing w:after="70" w:line="280"/>
      </w:pPr>
      <w:r>
        <w:t xml:space="preserve">Source / Citation — the provenance backbone: every other entity's facts point here, not the other way around (Section 5.4).</w:t>
      </w:r>
    </w:p>
    <w:p>
      <w:pPr>
        <w:pStyle w:val="ListParagraph"/>
        <w:numPr>
          <w:ilvl w:val="0"/>
          <w:numId w:val="2"/>
        </w:numPr>
        <w:spacing w:after="70" w:line="280"/>
      </w:pPr>
      <w:r>
        <w:t xml:space="preserve">Lesson — practical/leadership/spiritual takeaways, modeled separately from Event so the same event can carry multiple tagged lessons.</w:t>
      </w:r>
    </w:p>
    <w:p>
      <w:pPr>
        <w:pStyle w:val="ListParagraph"/>
        <w:numPr>
          <w:ilvl w:val="0"/>
          <w:numId w:val="2"/>
        </w:numPr>
        <w:spacing w:after="70" w:line="280"/>
      </w:pPr>
      <w:r>
        <w:t xml:space="preserve">Period — eras and sub-eras used for the zoom-level grouping described in Section 4.2.</w:t>
      </w:r>
    </w:p>
    <w:p>
      <w:pPr>
        <w:pStyle w:val="ListParagraph"/>
        <w:numPr>
          <w:ilvl w:val="0"/>
          <w:numId w:val="2"/>
        </w:numPr>
        <w:spacing w:after="70" w:line="280"/>
      </w:pPr>
      <w:r>
        <w:t xml:space="preserve">Relationship (edge) — a generic typed edge (precedes, causes, involves, occurs_at, reveals, cites) connecting any two entities, which is what actually powers both the “related events” rail in Phase 1 and the full knowledge graph in Phase 5.</w:t>
      </w:r>
    </w:p>
    <w:p>
      <w:pPr>
        <w:spacing w:after="40" w:before="160"/>
        <w:jc w:val="center"/>
      </w:pPr>
      <w:r>
        <w:drawing>
          <wp:inline distT="0" distB="0" distL="0" distR="0">
            <wp:extent cx="5334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990975"/>
                    </a:xfrm>
                    <a:prstGeom prst="rect">
                      <a:avLst/>
                    </a:prstGeom>
                  </pic:spPr>
                </pic:pic>
              </a:graphicData>
            </a:graphic>
          </wp:inline>
        </w:drawing>
      </w:r>
    </w:p>
    <w:p>
      <w:pPr>
        <w:spacing w:after="220" w:before="60"/>
        <w:jc w:val="center"/>
      </w:pPr>
      <w:r>
        <w:rPr>
          <w:i/>
          <w:iCs/>
          <w:color w:val="555555"/>
          <w:sz w:val="18"/>
          <w:szCs w:val="18"/>
        </w:rPr>
        <w:t xml:space="preserve">Figure 1 — Core entity-relationship model. The Relationship table is the extensibility point: adding Companion Timeline (Phase 2) or Quran Event Explorer (Phase 4) content means inserting new Person/Event rows and edges, not redesigning the schema.</w:t>
      </w:r>
    </w:p>
    <w:p>
      <w:pPr>
        <w:pStyle w:val="Heading2"/>
        <w:spacing w:after="120" w:before="260"/>
      </w:pPr>
      <w:r>
        <w:t xml:space="preserve">5.2 Worked Example: A Knowledge Graph Fragment</w:t>
      </w:r>
    </w:p>
    <w:p>
      <w:pPr>
        <w:spacing w:after="140" w:line="300"/>
      </w:pPr>
      <w:r>
        <w:rPr>
          <w:b w:val="false"/>
          <w:bCs w:val="false"/>
          <w:i w:val="false"/>
          <w:iCs w:val="false"/>
        </w:rPr>
        <w:t xml:space="preserve">To make the abstraction concrete, Figure 2 shows what a small slice of the graph looks like once Badr, Uhud, and the Hijrah are entered with their relationships, people, places, and revealed verses populated — this is the actual query result a Phase 5 “open graph” exploration of Badr would render.</w:t>
      </w:r>
    </w:p>
    <w:p>
      <w:pPr>
        <w:spacing w:after="40" w:before="160"/>
        <w:jc w:val="center"/>
      </w:pPr>
      <w:r>
        <w:drawing>
          <wp:inline distT="0" distB="0" distL="0" distR="0">
            <wp:extent cx="4572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800475"/>
                    </a:xfrm>
                    <a:prstGeom prst="rect">
                      <a:avLst/>
                    </a:prstGeom>
                  </pic:spPr>
                </pic:pic>
              </a:graphicData>
            </a:graphic>
          </wp:inline>
        </w:drawing>
      </w:r>
    </w:p>
    <w:p>
      <w:pPr>
        <w:spacing w:after="220" w:before="60"/>
        <w:jc w:val="center"/>
      </w:pPr>
      <w:r>
        <w:rPr>
          <w:i/>
          <w:iCs/>
          <w:color w:val="555555"/>
          <w:sz w:val="18"/>
          <w:szCs w:val="18"/>
        </w:rPr>
        <w:t xml:space="preserve">Figure 2 — Example graph neighborhood around the Battle of Badr, showing precedence, participation, location, and revelation edges.</w:t>
      </w:r>
    </w:p>
    <w:p>
      <w:pPr>
        <w:pStyle w:val="Heading2"/>
        <w:spacing w:after="120" w:before="260"/>
      </w:pPr>
      <w:r>
        <w:t xml:space="preserve">5.3 Database Recommendation: A Hybrid, Not a Single Choice</w:t>
      </w:r>
    </w:p>
    <w:p>
      <w:pPr>
        <w:spacing w:after="140" w:line="300"/>
      </w:pPr>
      <w:r>
        <w:rPr>
          <w:b w:val="false"/>
          <w:bCs w:val="false"/>
          <w:i w:val="false"/>
          <w:iCs w:val="false"/>
        </w:rPr>
        <w:t xml:space="preserve">The three technologies named in the brief solve different problems and the right answer is to use all three rather than pick 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00"/>
      </w:tblGrid>
      <w:tr>
        <w:trPr>
          <w:tblHeader/>
        </w:trPr>
        <w:tc>
          <w:tcPr>
            <w:tcW w:type="dxa" w:w="2200"/>
            <w:shd w:fill="1f3b57" w:val="clear"/>
            <w:tcMar>
              <w:top w:type="dxa" w:w="80"/>
              <w:left w:type="dxa" w:w="100"/>
              <w:bottom w:type="dxa" w:w="80"/>
              <w:right w:type="dxa" w:w="100"/>
            </w:tcMar>
            <w:vAlign w:val="center"/>
          </w:tcPr>
          <w:p>
            <w:r>
              <w:rPr>
                <w:b/>
                <w:bCs/>
                <w:color w:val="FFFFFF"/>
                <w:sz w:val="19"/>
                <w:szCs w:val="19"/>
              </w:rPr>
              <w:t xml:space="preserve">Engine</w:t>
            </w:r>
          </w:p>
        </w:tc>
        <w:tc>
          <w:tcPr>
            <w:tcW w:type="dxa" w:w="3600"/>
            <w:shd w:fill="1f3b57" w:val="clear"/>
            <w:tcMar>
              <w:top w:type="dxa" w:w="80"/>
              <w:left w:type="dxa" w:w="100"/>
              <w:bottom w:type="dxa" w:w="80"/>
              <w:right w:type="dxa" w:w="100"/>
            </w:tcMar>
            <w:vAlign w:val="center"/>
          </w:tcPr>
          <w:p>
            <w:r>
              <w:rPr>
                <w:b/>
                <w:bCs/>
                <w:color w:val="FFFFFF"/>
                <w:sz w:val="19"/>
                <w:szCs w:val="19"/>
              </w:rPr>
              <w:t xml:space="preserve">Role</w:t>
            </w:r>
          </w:p>
        </w:tc>
        <w:tc>
          <w:tcPr>
            <w:tcW w:type="dxa" w:w="3800"/>
            <w:shd w:fill="1f3b57" w:val="clear"/>
            <w:tcMar>
              <w:top w:type="dxa" w:w="80"/>
              <w:left w:type="dxa" w:w="100"/>
              <w:bottom w:type="dxa" w:w="80"/>
              <w:right w:type="dxa" w:w="100"/>
            </w:tcMar>
            <w:vAlign w:val="center"/>
          </w:tcPr>
          <w:p>
            <w:r>
              <w:rPr>
                <w:b/>
                <w:bCs/>
                <w:color w:val="FFFFFF"/>
                <w:sz w:val="19"/>
                <w:szCs w:val="19"/>
              </w:rPr>
              <w:t xml:space="preserve">Why</w:t>
            </w:r>
          </w:p>
        </w:tc>
      </w:tr>
      <w:tr>
        <w:tc>
          <w:tcPr>
            <w:tcW w:type="dxa" w:w="2200"/>
            <w:tcMar>
              <w:top w:type="dxa" w:w="80"/>
              <w:left w:type="dxa" w:w="100"/>
              <w:bottom w:type="dxa" w:w="80"/>
              <w:right w:type="dxa" w:w="100"/>
            </w:tcMar>
            <w:vAlign w:val="center"/>
          </w:tcPr>
          <w:p>
            <w:r>
              <w:rPr>
                <w:b w:val="false"/>
                <w:bCs w:val="false"/>
                <w:color w:val="222222"/>
                <w:sz w:val="19"/>
                <w:szCs w:val="19"/>
              </w:rPr>
              <w:t xml:space="preserve">PostgreSQL</w:t>
            </w:r>
          </w:p>
        </w:tc>
        <w:tc>
          <w:tcPr>
            <w:tcW w:type="dxa" w:w="3600"/>
            <w:tcMar>
              <w:top w:type="dxa" w:w="80"/>
              <w:left w:type="dxa" w:w="100"/>
              <w:bottom w:type="dxa" w:w="80"/>
              <w:right w:type="dxa" w:w="100"/>
            </w:tcMar>
            <w:vAlign w:val="center"/>
          </w:tcPr>
          <w:p>
            <w:r>
              <w:rPr>
                <w:b w:val="false"/>
                <w:bCs w:val="false"/>
                <w:color w:val="222222"/>
                <w:sz w:val="19"/>
                <w:szCs w:val="19"/>
              </w:rPr>
              <w:t xml:space="preserve">System of record for all entity data (events, people, places, verses, hadith, citations, review workflow state)</w:t>
            </w:r>
          </w:p>
        </w:tc>
        <w:tc>
          <w:tcPr>
            <w:tcW w:type="dxa" w:w="3800"/>
            <w:tcMar>
              <w:top w:type="dxa" w:w="80"/>
              <w:left w:type="dxa" w:w="100"/>
              <w:bottom w:type="dxa" w:w="80"/>
              <w:right w:type="dxa" w:w="100"/>
            </w:tcMar>
            <w:vAlign w:val="center"/>
          </w:tcPr>
          <w:p>
            <w:r>
              <w:rPr>
                <w:b w:val="false"/>
                <w:bCs w:val="false"/>
                <w:color w:val="222222"/>
                <w:sz w:val="19"/>
                <w:szCs w:val="19"/>
              </w:rPr>
              <w:t xml:space="preserve">Strong consistency, mature tooling, native full-text search is adequate pre-scale, easiest to staff for and back up. This is the source of truth — nothing is true unless it's in Postgres.</w:t>
            </w:r>
          </w:p>
        </w:tc>
      </w:tr>
      <w:tr>
        <w:tc>
          <w:tcPr>
            <w:tcW w:type="dxa" w:w="2200"/>
            <w:shd w:fill="F2ECDF" w:val="clear"/>
            <w:tcMar>
              <w:top w:type="dxa" w:w="80"/>
              <w:left w:type="dxa" w:w="100"/>
              <w:bottom w:type="dxa" w:w="80"/>
              <w:right w:type="dxa" w:w="100"/>
            </w:tcMar>
            <w:vAlign w:val="center"/>
          </w:tcPr>
          <w:p>
            <w:r>
              <w:rPr>
                <w:b w:val="false"/>
                <w:bCs w:val="false"/>
                <w:color w:val="222222"/>
                <w:sz w:val="19"/>
                <w:szCs w:val="19"/>
              </w:rPr>
              <w:t xml:space="preserve">Neo4j (or Amazon Neptune)</w:t>
            </w:r>
          </w:p>
        </w:tc>
        <w:tc>
          <w:tcPr>
            <w:tcW w:type="dxa" w:w="3600"/>
            <w:shd w:fill="F2ECDF" w:val="clear"/>
            <w:tcMar>
              <w:top w:type="dxa" w:w="80"/>
              <w:left w:type="dxa" w:w="100"/>
              <w:bottom w:type="dxa" w:w="80"/>
              <w:right w:type="dxa" w:w="100"/>
            </w:tcMar>
            <w:vAlign w:val="center"/>
          </w:tcPr>
          <w:p>
            <w:r>
              <w:rPr>
                <w:b w:val="false"/>
                <w:bCs w:val="false"/>
                <w:color w:val="222222"/>
                <w:sz w:val="19"/>
                <w:szCs w:val="19"/>
              </w:rPr>
              <w:t xml:space="preserve">Graph traversal layer for “related events,” companion networks, and the Phase 5 open knowledge graph</w:t>
            </w:r>
          </w:p>
        </w:tc>
        <w:tc>
          <w:tcPr>
            <w:tcW w:type="dxa" w:w="3800"/>
            <w:shd w:fill="F2ECDF" w:val="clear"/>
            <w:tcMar>
              <w:top w:type="dxa" w:w="80"/>
              <w:left w:type="dxa" w:w="100"/>
              <w:bottom w:type="dxa" w:w="80"/>
              <w:right w:type="dxa" w:w="100"/>
            </w:tcMar>
            <w:vAlign w:val="center"/>
          </w:tcPr>
          <w:p>
            <w:r>
              <w:rPr>
                <w:b w:val="false"/>
                <w:bCs w:val="false"/>
                <w:color w:val="222222"/>
                <w:sz w:val="19"/>
                <w:szCs w:val="19"/>
              </w:rPr>
              <w:t xml:space="preserve">Relationship-heavy queries (“show everything connected to Badr within 2 hops”) are simple in Cypher and slow/awkward as recursive SQL joins at graph scale. Populated via change-data-capture from Postgres, not written to directly by the app.</w:t>
            </w:r>
          </w:p>
        </w:tc>
      </w:tr>
      <w:tr>
        <w:tc>
          <w:tcPr>
            <w:tcW w:type="dxa" w:w="2200"/>
            <w:tcMar>
              <w:top w:type="dxa" w:w="80"/>
              <w:left w:type="dxa" w:w="100"/>
              <w:bottom w:type="dxa" w:w="80"/>
              <w:right w:type="dxa" w:w="100"/>
            </w:tcMar>
            <w:vAlign w:val="center"/>
          </w:tcPr>
          <w:p>
            <w:r>
              <w:rPr>
                <w:b w:val="false"/>
                <w:bCs w:val="false"/>
                <w:color w:val="222222"/>
                <w:sz w:val="19"/>
                <w:szCs w:val="19"/>
              </w:rPr>
              <w:t xml:space="preserve">Elasticsearch</w:t>
            </w:r>
          </w:p>
        </w:tc>
        <w:tc>
          <w:tcPr>
            <w:tcW w:type="dxa" w:w="3600"/>
            <w:tcMar>
              <w:top w:type="dxa" w:w="80"/>
              <w:left w:type="dxa" w:w="100"/>
              <w:bottom w:type="dxa" w:w="80"/>
              <w:right w:type="dxa" w:w="100"/>
            </w:tcMar>
            <w:vAlign w:val="center"/>
          </w:tcPr>
          <w:p>
            <w:r>
              <w:rPr>
                <w:b w:val="false"/>
                <w:bCs w:val="false"/>
                <w:color w:val="222222"/>
                <w:sz w:val="19"/>
                <w:szCs w:val="19"/>
              </w:rPr>
              <w:t xml:space="preserve">Search: natural-language and keyword search across events/verses/hadith, typo tolerance, ranking</w:t>
            </w:r>
          </w:p>
        </w:tc>
        <w:tc>
          <w:tcPr>
            <w:tcW w:type="dxa" w:w="3800"/>
            <w:tcMar>
              <w:top w:type="dxa" w:w="80"/>
              <w:left w:type="dxa" w:w="100"/>
              <w:bottom w:type="dxa" w:w="80"/>
              <w:right w:type="dxa" w:w="100"/>
            </w:tcMar>
            <w:vAlign w:val="center"/>
          </w:tcPr>
          <w:p>
            <w:r>
              <w:rPr>
                <w:b w:val="false"/>
                <w:bCs w:val="false"/>
                <w:color w:val="222222"/>
                <w:sz w:val="19"/>
                <w:szCs w:val="19"/>
              </w:rPr>
              <w:t xml:space="preserve">Postgres full-text search is fine for Phase 1 volume (dozens–hundreds of events); once verses (6,236) and hadith (thousands) are indexed for Phase 3–4, a dedicated search engine with better relevance tuning and faceting becomes worthwhile. Elasticsearch is the natural choice here rather than a new tool: it slots directly into the same ELK stack (Elasticsearch, Logstash, Kibana) already used for application logging/monitoring, so no new query language or operational pattern needs to be learned.</w:t>
            </w:r>
          </w:p>
        </w:tc>
      </w:tr>
    </w:tbl>
    <w:p>
      <w:pPr>
        <w:spacing w:after="140" w:line="300"/>
      </w:pPr>
      <w:r>
        <w:rPr>
          <w:b w:val="false"/>
          <w:bCs w:val="false"/>
          <w:i w:val="false"/>
          <w:iCs w:val="false"/>
        </w:rPr>
        <w:t xml:space="preserve">Recommended sequencing: launch Phase 1 on Postgres alone with Postgres full-text search — it is genuinely sufficient at MVP data volumes and avoids running three databases before there is any traffic to justify it. Introduce Elasticsearch when Search/Explore usage data shows the built-in search is the bottleneck (likely around the Phase 2–3 boundary), reusing the existing ELK/Grafana/Prometheus observability stack rather than adding a new vendor. Introduce Neo4j when the Phase 5 open graph view is actually being built. Sync both from Postgres using Kafka Connect with the Debezium Postgres connector for change-data-capture — this turns every INSERT/UPDATE in the review-approved content tables into a Kafka event that Elasticsearch and Neo4j consumers apply, which is a natural extension of an existing Kafka-based event-driven pattern rather than a bespoke nightly ETL job, and keeps both derived stores near-real-time instead of a day stale. This avoids the common mistake of standing up a graph database before there is graph-shaped UI to justify it.</w:t>
      </w:r>
    </w:p>
    <w:p>
      <w:pPr>
        <w:pStyle w:val="Heading2"/>
        <w:spacing w:after="120" w:before="260"/>
      </w:pPr>
      <w:r>
        <w:t xml:space="preserve">5.4 Citation &amp; Certainty Model</w:t>
      </w:r>
    </w:p>
    <w:p>
      <w:pPr>
        <w:spacing w:after="140" w:line="300"/>
      </w:pPr>
      <w:r>
        <w:rPr>
          <w:b w:val="false"/>
          <w:bCs w:val="false"/>
          <w:i w:val="false"/>
          <w:iCs w:val="false"/>
        </w:rPr>
        <w:t xml:space="preserve">Every fact-bearing row (an Event's summary, a Relationship edge, a Verse-to-Event link) carries a foreign key to one or more Source rows, and every Source row carries: work_title, author, edition/translator, page_or_reference, reliability_tier (primary classical source / respected modern scholarly work / secondary or popular compilation), and license_type (drawn directly from Section 6's findings — public domain, freely distributed but not formally licensed, or requires-permission). Certainty is modeled at the Event and Relationship level as one of confirmed (multiple primary sources agree), scholars differ (sources disagree on date/sequence/detail — the UI must show this, not resolve it silently), or single-source (only one source attests to this, flagged for the advisory board to weigh in on before publish). This is what lets the product make a defensible claim about accuracy without pretending the historical record is cleaner than it is.</w:t>
      </w:r>
    </w:p>
    <w:p>
      <w:pPr>
        <w:pStyle w:val="Heading1"/>
        <w:pageBreakBefore/>
        <w:spacing w:after="160" w:before="200"/>
      </w:pPr>
      <w:r>
        <w:t xml:space="preserve">6. Source Data Acquisition Strategy</w:t>
      </w:r>
    </w:p>
    <w:p>
      <w:pPr>
        <w:spacing w:after="140" w:line="300"/>
      </w:pPr>
      <w:r>
        <w:rPr>
          <w:b w:val="false"/>
          <w:bCs w:val="false"/>
          <w:i w:val="false"/>
          <w:iCs w:val="false"/>
        </w:rPr>
        <w:t xml:space="preserve">Findings below are from direct research into currently available sources and APIs (verified July 2026). Reliability tiers: A = institutionally vetted / scholarly authoritative, B = credible aggregator built on A-tier text, C = community/unverified, needs spot-checking before use.</w:t>
      </w:r>
    </w:p>
    <w:p>
      <w:pPr>
        <w:pStyle w:val="Heading2"/>
        <w:spacing w:after="120" w:before="260"/>
      </w:pPr>
      <w:r>
        <w:t xml:space="preserve">6.1 Quran Text &amp; Tafsir</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2000"/>
        <w:gridCol w:w="1200"/>
      </w:tblGrid>
      <w:tr>
        <w:trPr>
          <w:tblHeader/>
        </w:trPr>
        <w:tc>
          <w:tcPr>
            <w:tcW w:type="dxa" w:w="2600"/>
            <w:shd w:fill="1f3b57" w:val="clear"/>
            <w:tcMar>
              <w:top w:type="dxa" w:w="80"/>
              <w:left w:type="dxa" w:w="100"/>
              <w:bottom w:type="dxa" w:w="80"/>
              <w:right w:type="dxa" w:w="100"/>
            </w:tcMar>
            <w:vAlign w:val="center"/>
          </w:tcPr>
          <w:p>
            <w:r>
              <w:rPr>
                <w:b/>
                <w:bCs/>
                <w:color w:val="FFFFFF"/>
                <w:sz w:val="19"/>
                <w:szCs w:val="19"/>
              </w:rPr>
              <w:t xml:space="preserve">Source</w:t>
            </w:r>
          </w:p>
        </w:tc>
        <w:tc>
          <w:tcPr>
            <w:tcW w:type="dxa" w:w="2600"/>
            <w:shd w:fill="1f3b57" w:val="clear"/>
            <w:tcMar>
              <w:top w:type="dxa" w:w="80"/>
              <w:left w:type="dxa" w:w="100"/>
              <w:bottom w:type="dxa" w:w="80"/>
              <w:right w:type="dxa" w:w="100"/>
            </w:tcMar>
            <w:vAlign w:val="center"/>
          </w:tcPr>
          <w:p>
            <w:r>
              <w:rPr>
                <w:b/>
                <w:bCs/>
                <w:color w:val="FFFFFF"/>
                <w:sz w:val="19"/>
                <w:szCs w:val="19"/>
              </w:rPr>
              <w:t xml:space="preserve">Reliability</w:t>
            </w:r>
          </w:p>
        </w:tc>
        <w:tc>
          <w:tcPr>
            <w:tcW w:type="dxa" w:w="2200"/>
            <w:shd w:fill="1f3b57" w:val="clear"/>
            <w:tcMar>
              <w:top w:type="dxa" w:w="80"/>
              <w:left w:type="dxa" w:w="100"/>
              <w:bottom w:type="dxa" w:w="80"/>
              <w:right w:type="dxa" w:w="100"/>
            </w:tcMar>
            <w:vAlign w:val="center"/>
          </w:tcPr>
          <w:p>
            <w:r>
              <w:rPr>
                <w:b/>
                <w:bCs/>
                <w:color w:val="FFFFFF"/>
                <w:sz w:val="19"/>
                <w:szCs w:val="19"/>
              </w:rPr>
              <w:t xml:space="preserve">Licensing</w:t>
            </w:r>
          </w:p>
        </w:tc>
        <w:tc>
          <w:tcPr>
            <w:tcW w:type="dxa" w:w="2000"/>
            <w:shd w:fill="1f3b57" w:val="clear"/>
            <w:tcMar>
              <w:top w:type="dxa" w:w="80"/>
              <w:left w:type="dxa" w:w="100"/>
              <w:bottom w:type="dxa" w:w="80"/>
              <w:right w:type="dxa" w:w="100"/>
            </w:tcMar>
            <w:vAlign w:val="center"/>
          </w:tcPr>
          <w:p>
            <w:r>
              <w:rPr>
                <w:b/>
                <w:bCs/>
                <w:color w:val="FFFFFF"/>
                <w:sz w:val="19"/>
                <w:szCs w:val="19"/>
              </w:rPr>
              <w:t xml:space="preserve">API / access</w:t>
            </w:r>
          </w:p>
        </w:tc>
        <w:tc>
          <w:tcPr>
            <w:tcW w:type="dxa" w:w="1200"/>
            <w:shd w:fill="1f3b57" w:val="clear"/>
            <w:tcMar>
              <w:top w:type="dxa" w:w="80"/>
              <w:left w:type="dxa" w:w="100"/>
              <w:bottom w:type="dxa" w:w="80"/>
              <w:right w:type="dxa" w:w="100"/>
            </w:tcMar>
            <w:vAlign w:val="center"/>
          </w:tcPr>
          <w:p>
            <w:r>
              <w:rPr>
                <w:b/>
                <w:bCs/>
                <w:color w:val="FFFFFF"/>
                <w:sz w:val="19"/>
                <w:szCs w:val="19"/>
              </w:rPr>
              <w:t xml:space="preserve">Difficulty</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Tanzil.net (canonical Quran text)</w:t>
            </w:r>
          </w:p>
        </w:tc>
        <w:tc>
          <w:tcPr>
            <w:tcW w:type="dxa" w:w="2600"/>
            <w:tcMar>
              <w:top w:type="dxa" w:w="80"/>
              <w:left w:type="dxa" w:w="100"/>
              <w:bottom w:type="dxa" w:w="80"/>
              <w:right w:type="dxa" w:w="100"/>
            </w:tcMar>
            <w:vAlign w:val="center"/>
          </w:tcPr>
          <w:p>
            <w:r>
              <w:rPr>
                <w:b w:val="false"/>
                <w:bCs w:val="false"/>
                <w:color w:val="222222"/>
                <w:sz w:val="19"/>
                <w:szCs w:val="19"/>
              </w:rPr>
              <w:t xml:space="preserve">A — the de facto reference nearly every other source traces back to</w:t>
            </w:r>
          </w:p>
        </w:tc>
        <w:tc>
          <w:tcPr>
            <w:tcW w:type="dxa" w:w="2200"/>
            <w:tcMar>
              <w:top w:type="dxa" w:w="80"/>
              <w:left w:type="dxa" w:w="100"/>
              <w:bottom w:type="dxa" w:w="80"/>
              <w:right w:type="dxa" w:w="100"/>
            </w:tcMar>
            <w:vAlign w:val="center"/>
          </w:tcPr>
          <w:p>
            <w:r>
              <w:rPr>
                <w:b w:val="false"/>
                <w:bCs w:val="false"/>
                <w:color w:val="222222"/>
                <w:sz w:val="19"/>
                <w:szCs w:val="19"/>
              </w:rPr>
              <w:t xml:space="preserve">CC BY 3.0; verbatim redistribution with attribution, no modification</w:t>
            </w:r>
          </w:p>
        </w:tc>
        <w:tc>
          <w:tcPr>
            <w:tcW w:type="dxa" w:w="2000"/>
            <w:tcMar>
              <w:top w:type="dxa" w:w="80"/>
              <w:left w:type="dxa" w:w="100"/>
              <w:bottom w:type="dxa" w:w="80"/>
              <w:right w:type="dxa" w:w="100"/>
            </w:tcMar>
            <w:vAlign w:val="center"/>
          </w:tcPr>
          <w:p>
            <w:r>
              <w:rPr>
                <w:b w:val="false"/>
                <w:bCs w:val="false"/>
                <w:color w:val="222222"/>
                <w:sz w:val="19"/>
                <w:szCs w:val="19"/>
              </w:rPr>
              <w:t xml:space="preserve">Bulk download (XML/SQL/text), no REST API</w:t>
            </w:r>
          </w:p>
        </w:tc>
        <w:tc>
          <w:tcPr>
            <w:tcW w:type="dxa" w:w="1200"/>
            <w:tcMar>
              <w:top w:type="dxa" w:w="80"/>
              <w:left w:type="dxa" w:w="100"/>
              <w:bottom w:type="dxa" w:w="80"/>
              <w:right w:type="dxa" w:w="100"/>
            </w:tcMar>
            <w:vAlign w:val="center"/>
          </w:tcPr>
          <w:p>
            <w:r>
              <w:rPr>
                <w:b w:val="false"/>
                <w:bCs w:val="false"/>
                <w:color w:val="222222"/>
                <w:sz w:val="19"/>
                <w:szCs w:val="19"/>
              </w:rPr>
              <w:t xml:space="preserve">Low</w:t>
            </w:r>
          </w:p>
        </w:tc>
      </w:tr>
      <w:tr>
        <w:tc>
          <w:tcPr>
            <w:tcW w:type="dxa" w:w="2600"/>
            <w:shd w:fill="F2ECDF" w:val="clear"/>
            <w:tcMar>
              <w:top w:type="dxa" w:w="80"/>
              <w:left w:type="dxa" w:w="100"/>
              <w:bottom w:type="dxa" w:w="80"/>
              <w:right w:type="dxa" w:w="100"/>
            </w:tcMar>
            <w:vAlign w:val="center"/>
          </w:tcPr>
          <w:p>
            <w:r>
              <w:rPr>
                <w:b w:val="false"/>
                <w:bCs w:val="false"/>
                <w:color w:val="222222"/>
                <w:sz w:val="19"/>
                <w:szCs w:val="19"/>
              </w:rPr>
              <w:t xml:space="preserve">Quran.com / Quran Foundation API</w:t>
            </w:r>
          </w:p>
        </w:tc>
        <w:tc>
          <w:tcPr>
            <w:tcW w:type="dxa" w:w="2600"/>
            <w:shd w:fill="F2ECDF" w:val="clear"/>
            <w:tcMar>
              <w:top w:type="dxa" w:w="80"/>
              <w:left w:type="dxa" w:w="100"/>
              <w:bottom w:type="dxa" w:w="80"/>
              <w:right w:type="dxa" w:w="100"/>
            </w:tcMar>
            <w:vAlign w:val="center"/>
          </w:tcPr>
          <w:p>
            <w:r>
              <w:rPr>
                <w:b w:val="false"/>
                <w:bCs w:val="false"/>
                <w:color w:val="222222"/>
                <w:sz w:val="19"/>
                <w:szCs w:val="19"/>
              </w:rPr>
              <w:t xml:space="preserve">A — nonprofit, scholarly-vetted, includes tafsir + audio + translations</w:t>
            </w:r>
          </w:p>
        </w:tc>
        <w:tc>
          <w:tcPr>
            <w:tcW w:type="dxa" w:w="2200"/>
            <w:shd w:fill="F2ECDF" w:val="clear"/>
            <w:tcMar>
              <w:top w:type="dxa" w:w="80"/>
              <w:left w:type="dxa" w:w="100"/>
              <w:bottom w:type="dxa" w:w="80"/>
              <w:right w:type="dxa" w:w="100"/>
            </w:tcMar>
            <w:vAlign w:val="center"/>
          </w:tcPr>
          <w:p>
            <w:r>
              <w:rPr>
                <w:b w:val="false"/>
                <w:bCs w:val="false"/>
                <w:color w:val="222222"/>
                <w:sz w:val="19"/>
                <w:szCs w:val="19"/>
              </w:rPr>
              <w:t xml:space="preserve">Open for use; access gated by OAuth2 client credentials</w:t>
            </w:r>
          </w:p>
        </w:tc>
        <w:tc>
          <w:tcPr>
            <w:tcW w:type="dxa" w:w="2000"/>
            <w:shd w:fill="F2ECDF" w:val="clear"/>
            <w:tcMar>
              <w:top w:type="dxa" w:w="80"/>
              <w:left w:type="dxa" w:w="100"/>
              <w:bottom w:type="dxa" w:w="80"/>
              <w:right w:type="dxa" w:w="100"/>
            </w:tcMar>
            <w:vAlign w:val="center"/>
          </w:tcPr>
          <w:p>
            <w:r>
              <w:rPr>
                <w:b w:val="false"/>
                <w:bCs w:val="false"/>
                <w:color w:val="222222"/>
                <w:sz w:val="19"/>
                <w:szCs w:val="19"/>
              </w:rPr>
              <w:t xml:space="preserve">Documented REST API + official SDK (api-docs.quran.foundation)</w:t>
            </w:r>
          </w:p>
        </w:tc>
        <w:tc>
          <w:tcPr>
            <w:tcW w:type="dxa" w:w="1200"/>
            <w:shd w:fill="F2ECDF" w:val="clear"/>
            <w:tcMar>
              <w:top w:type="dxa" w:w="80"/>
              <w:left w:type="dxa" w:w="100"/>
              <w:bottom w:type="dxa" w:w="80"/>
              <w:right w:type="dxa" w:w="100"/>
            </w:tcMar>
            <w:vAlign w:val="center"/>
          </w:tcPr>
          <w:p>
            <w:r>
              <w:rPr>
                <w:b w:val="false"/>
                <w:bCs w:val="false"/>
                <w:color w:val="222222"/>
                <w:sz w:val="19"/>
                <w:szCs w:val="19"/>
              </w:rPr>
              <w:t xml:space="preserve">Low–Moderate</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Al Quran Cloud API</w:t>
            </w:r>
          </w:p>
        </w:tc>
        <w:tc>
          <w:tcPr>
            <w:tcW w:type="dxa" w:w="2600"/>
            <w:tcMar>
              <w:top w:type="dxa" w:w="80"/>
              <w:left w:type="dxa" w:w="100"/>
              <w:bottom w:type="dxa" w:w="80"/>
              <w:right w:type="dxa" w:w="100"/>
            </w:tcMar>
            <w:vAlign w:val="center"/>
          </w:tcPr>
          <w:p>
            <w:r>
              <w:rPr>
                <w:b w:val="false"/>
                <w:bCs w:val="false"/>
                <w:color w:val="222222"/>
                <w:sz w:val="19"/>
                <w:szCs w:val="19"/>
              </w:rPr>
              <w:t xml:space="preserve">B — wraps Tanzil/King Fahd Complex text, no auth required</w:t>
            </w:r>
          </w:p>
        </w:tc>
        <w:tc>
          <w:tcPr>
            <w:tcW w:type="dxa" w:w="2200"/>
            <w:tcMar>
              <w:top w:type="dxa" w:w="80"/>
              <w:left w:type="dxa" w:w="100"/>
              <w:bottom w:type="dxa" w:w="80"/>
              <w:right w:type="dxa" w:w="100"/>
            </w:tcMar>
            <w:vAlign w:val="center"/>
          </w:tcPr>
          <w:p>
            <w:r>
              <w:rPr>
                <w:b w:val="false"/>
                <w:bCs w:val="false"/>
                <w:color w:val="222222"/>
                <w:sz w:val="19"/>
                <w:szCs w:val="19"/>
              </w:rPr>
              <w:t xml:space="preserve">Free community project</w:t>
            </w:r>
          </w:p>
        </w:tc>
        <w:tc>
          <w:tcPr>
            <w:tcW w:type="dxa" w:w="2000"/>
            <w:tcMar>
              <w:top w:type="dxa" w:w="80"/>
              <w:left w:type="dxa" w:w="100"/>
              <w:bottom w:type="dxa" w:w="80"/>
              <w:right w:type="dxa" w:w="100"/>
            </w:tcMar>
            <w:vAlign w:val="center"/>
          </w:tcPr>
          <w:p>
            <w:r>
              <w:rPr>
                <w:b w:val="false"/>
                <w:bCs w:val="false"/>
                <w:color w:val="222222"/>
                <w:sz w:val="19"/>
                <w:szCs w:val="19"/>
              </w:rPr>
              <w:t xml:space="preserve">REST API, no key needed (api.alquran.cloud)</w:t>
            </w:r>
          </w:p>
        </w:tc>
        <w:tc>
          <w:tcPr>
            <w:tcW w:type="dxa" w:w="1200"/>
            <w:tcMar>
              <w:top w:type="dxa" w:w="80"/>
              <w:left w:type="dxa" w:w="100"/>
              <w:bottom w:type="dxa" w:w="80"/>
              <w:right w:type="dxa" w:w="100"/>
            </w:tcMar>
            <w:vAlign w:val="center"/>
          </w:tcPr>
          <w:p>
            <w:r>
              <w:rPr>
                <w:b w:val="false"/>
                <w:bCs w:val="false"/>
                <w:color w:val="222222"/>
                <w:sz w:val="19"/>
                <w:szCs w:val="19"/>
              </w:rPr>
              <w:t xml:space="preserve">Very low</w:t>
            </w:r>
          </w:p>
        </w:tc>
      </w:tr>
      <w:tr>
        <w:tc>
          <w:tcPr>
            <w:tcW w:type="dxa" w:w="2600"/>
            <w:shd w:fill="F2ECDF" w:val="clear"/>
            <w:tcMar>
              <w:top w:type="dxa" w:w="80"/>
              <w:left w:type="dxa" w:w="100"/>
              <w:bottom w:type="dxa" w:w="80"/>
              <w:right w:type="dxa" w:w="100"/>
            </w:tcMar>
            <w:vAlign w:val="center"/>
          </w:tcPr>
          <w:p>
            <w:r>
              <w:rPr>
                <w:b w:val="false"/>
                <w:bCs w:val="false"/>
                <w:color w:val="222222"/>
                <w:sz w:val="19"/>
                <w:szCs w:val="19"/>
              </w:rPr>
              <w:t xml:space="preserve">Tafsir (Ibn Kathir, Al-Jalalayn, etc.)</w:t>
            </w:r>
          </w:p>
        </w:tc>
        <w:tc>
          <w:tcPr>
            <w:tcW w:type="dxa" w:w="2600"/>
            <w:shd w:fill="F2ECDF" w:val="clear"/>
            <w:tcMar>
              <w:top w:type="dxa" w:w="80"/>
              <w:left w:type="dxa" w:w="100"/>
              <w:bottom w:type="dxa" w:w="80"/>
              <w:right w:type="dxa" w:w="100"/>
            </w:tcMar>
            <w:vAlign w:val="center"/>
          </w:tcPr>
          <w:p>
            <w:r>
              <w:rPr>
                <w:b w:val="false"/>
                <w:bCs w:val="false"/>
                <w:color w:val="222222"/>
                <w:sz w:val="19"/>
                <w:szCs w:val="19"/>
              </w:rPr>
              <w:t xml:space="preserve">A/B mixed — Quran Foundation's tafsir endpoints are A-tier; community JSON mirrors (e.g. spa5k/tafsir_api) are B-tier and need license verification</w:t>
            </w:r>
          </w:p>
        </w:tc>
        <w:tc>
          <w:tcPr>
            <w:tcW w:type="dxa" w:w="2200"/>
            <w:shd w:fill="F2ECDF" w:val="clear"/>
            <w:tcMar>
              <w:top w:type="dxa" w:w="80"/>
              <w:left w:type="dxa" w:w="100"/>
              <w:bottom w:type="dxa" w:w="80"/>
              <w:right w:type="dxa" w:w="100"/>
            </w:tcMar>
            <w:vAlign w:val="center"/>
          </w:tcPr>
          <w:p>
            <w:r>
              <w:rPr>
                <w:b w:val="false"/>
                <w:bCs w:val="false"/>
                <w:color w:val="222222"/>
                <w:sz w:val="19"/>
                <w:szCs w:val="19"/>
              </w:rPr>
              <w:t xml:space="preserve">Varies; verify per edition before commercial use</w:t>
            </w:r>
          </w:p>
        </w:tc>
        <w:tc>
          <w:tcPr>
            <w:tcW w:type="dxa" w:w="2000"/>
            <w:shd w:fill="F2ECDF" w:val="clear"/>
            <w:tcMar>
              <w:top w:type="dxa" w:w="80"/>
              <w:left w:type="dxa" w:w="100"/>
              <w:bottom w:type="dxa" w:w="80"/>
              <w:right w:type="dxa" w:w="100"/>
            </w:tcMar>
            <w:vAlign w:val="center"/>
          </w:tcPr>
          <w:p>
            <w:r>
              <w:rPr>
                <w:b w:val="false"/>
                <w:bCs w:val="false"/>
                <w:color w:val="222222"/>
                <w:sz w:val="19"/>
                <w:szCs w:val="19"/>
              </w:rPr>
              <w:t xml:space="preserve">JSON via CDN (community) or official API (Quran Foundation)</w:t>
            </w:r>
          </w:p>
        </w:tc>
        <w:tc>
          <w:tcPr>
            <w:tcW w:type="dxa" w:w="1200"/>
            <w:shd w:fill="F2ECDF" w:val="clear"/>
            <w:tcMar>
              <w:top w:type="dxa" w:w="80"/>
              <w:left w:type="dxa" w:w="100"/>
              <w:bottom w:type="dxa" w:w="80"/>
              <w:right w:type="dxa" w:w="100"/>
            </w:tcMar>
            <w:vAlign w:val="center"/>
          </w:tcPr>
          <w:p>
            <w:r>
              <w:rPr>
                <w:b w:val="false"/>
                <w:bCs w:val="false"/>
                <w:color w:val="222222"/>
                <w:sz w:val="19"/>
                <w:szCs w:val="19"/>
              </w:rPr>
              <w:t xml:space="preserve">Low–Moderate</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Revelation chronology / asbab al-nuzul</w:t>
            </w:r>
          </w:p>
        </w:tc>
        <w:tc>
          <w:tcPr>
            <w:tcW w:type="dxa" w:w="2600"/>
            <w:tcMar>
              <w:top w:type="dxa" w:w="80"/>
              <w:left w:type="dxa" w:w="100"/>
              <w:bottom w:type="dxa" w:w="80"/>
              <w:right w:type="dxa" w:w="100"/>
            </w:tcMar>
            <w:vAlign w:val="center"/>
          </w:tcPr>
          <w:p>
            <w:r>
              <w:rPr>
                <w:b w:val="false"/>
                <w:bCs w:val="false"/>
                <w:color w:val="222222"/>
                <w:sz w:val="19"/>
                <w:szCs w:val="19"/>
              </w:rPr>
              <w:t xml:space="preserve">No authoritative structured dataset exists</w:t>
            </w:r>
          </w:p>
        </w:tc>
        <w:tc>
          <w:tcPr>
            <w:tcW w:type="dxa" w:w="2200"/>
            <w:tcMar>
              <w:top w:type="dxa" w:w="80"/>
              <w:left w:type="dxa" w:w="100"/>
              <w:bottom w:type="dxa" w:w="80"/>
              <w:right w:type="dxa" w:w="100"/>
            </w:tcMar>
            <w:vAlign w:val="center"/>
          </w:tcPr>
          <w:p>
            <w:r>
              <w:rPr>
                <w:b w:val="false"/>
                <w:bCs w:val="false"/>
                <w:color w:val="222222"/>
                <w:sz w:val="19"/>
                <w:szCs w:val="19"/>
              </w:rPr>
              <w:t xml:space="preserve">N/A — build in-house from classical asbab al-nuzul literature (e.g. Al-Wahidi)</w:t>
            </w:r>
          </w:p>
        </w:tc>
        <w:tc>
          <w:tcPr>
            <w:tcW w:type="dxa" w:w="2000"/>
            <w:tcMar>
              <w:top w:type="dxa" w:w="80"/>
              <w:left w:type="dxa" w:w="100"/>
              <w:bottom w:type="dxa" w:w="80"/>
              <w:right w:type="dxa" w:w="100"/>
            </w:tcMar>
            <w:vAlign w:val="center"/>
          </w:tcPr>
          <w:p>
            <w:r>
              <w:rPr>
                <w:b w:val="false"/>
                <w:bCs w:val="false"/>
                <w:color w:val="222222"/>
                <w:sz w:val="19"/>
                <w:szCs w:val="19"/>
              </w:rPr>
              <w:t xml:space="preserve">None found — this is a build-it-yourself gap</w:t>
            </w:r>
          </w:p>
        </w:tc>
        <w:tc>
          <w:tcPr>
            <w:tcW w:type="dxa" w:w="1200"/>
            <w:tcMar>
              <w:top w:type="dxa" w:w="80"/>
              <w:left w:type="dxa" w:w="100"/>
              <w:bottom w:type="dxa" w:w="80"/>
              <w:right w:type="dxa" w:w="100"/>
            </w:tcMar>
            <w:vAlign w:val="center"/>
          </w:tcPr>
          <w:p>
            <w:r>
              <w:rPr>
                <w:b w:val="false"/>
                <w:bCs w:val="false"/>
                <w:color w:val="222222"/>
                <w:sz w:val="19"/>
                <w:szCs w:val="19"/>
              </w:rPr>
              <w:t xml:space="preserve">High (research-intensive)</w:t>
            </w:r>
          </w:p>
        </w:tc>
      </w:tr>
    </w:tbl>
    <w:p>
      <w:pPr>
        <w:pStyle w:val="Heading2"/>
        <w:spacing w:after="120" w:before="260"/>
      </w:pPr>
      <w:r>
        <w:t xml:space="preserve">6.2 Hadith</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000"/>
        <w:gridCol w:w="2000"/>
        <w:gridCol w:w="1000"/>
      </w:tblGrid>
      <w:tr>
        <w:trPr>
          <w:tblHeader/>
        </w:trPr>
        <w:tc>
          <w:tcPr>
            <w:tcW w:type="dxa" w:w="3000"/>
            <w:shd w:fill="1f3b57" w:val="clear"/>
            <w:tcMar>
              <w:top w:type="dxa" w:w="80"/>
              <w:left w:type="dxa" w:w="100"/>
              <w:bottom w:type="dxa" w:w="80"/>
              <w:right w:type="dxa" w:w="100"/>
            </w:tcMar>
            <w:vAlign w:val="center"/>
          </w:tcPr>
          <w:p>
            <w:r>
              <w:rPr>
                <w:b/>
                <w:bCs/>
                <w:color w:val="FFFFFF"/>
                <w:sz w:val="19"/>
                <w:szCs w:val="19"/>
              </w:rPr>
              <w:t xml:space="preserve">Source</w:t>
            </w:r>
          </w:p>
        </w:tc>
        <w:tc>
          <w:tcPr>
            <w:tcW w:type="dxa" w:w="2600"/>
            <w:shd w:fill="1f3b57" w:val="clear"/>
            <w:tcMar>
              <w:top w:type="dxa" w:w="80"/>
              <w:left w:type="dxa" w:w="100"/>
              <w:bottom w:type="dxa" w:w="80"/>
              <w:right w:type="dxa" w:w="100"/>
            </w:tcMar>
            <w:vAlign w:val="center"/>
          </w:tcPr>
          <w:p>
            <w:r>
              <w:rPr>
                <w:b/>
                <w:bCs/>
                <w:color w:val="FFFFFF"/>
                <w:sz w:val="19"/>
                <w:szCs w:val="19"/>
              </w:rPr>
              <w:t xml:space="preserve">Reliability</w:t>
            </w:r>
          </w:p>
        </w:tc>
        <w:tc>
          <w:tcPr>
            <w:tcW w:type="dxa" w:w="2000"/>
            <w:shd w:fill="1f3b57" w:val="clear"/>
            <w:tcMar>
              <w:top w:type="dxa" w:w="80"/>
              <w:left w:type="dxa" w:w="100"/>
              <w:bottom w:type="dxa" w:w="80"/>
              <w:right w:type="dxa" w:w="100"/>
            </w:tcMar>
            <w:vAlign w:val="center"/>
          </w:tcPr>
          <w:p>
            <w:r>
              <w:rPr>
                <w:b/>
                <w:bCs/>
                <w:color w:val="FFFFFF"/>
                <w:sz w:val="19"/>
                <w:szCs w:val="19"/>
              </w:rPr>
              <w:t xml:space="preserve">Licensing</w:t>
            </w:r>
          </w:p>
        </w:tc>
        <w:tc>
          <w:tcPr>
            <w:tcW w:type="dxa" w:w="2000"/>
            <w:shd w:fill="1f3b57" w:val="clear"/>
            <w:tcMar>
              <w:top w:type="dxa" w:w="80"/>
              <w:left w:type="dxa" w:w="100"/>
              <w:bottom w:type="dxa" w:w="80"/>
              <w:right w:type="dxa" w:w="100"/>
            </w:tcMar>
            <w:vAlign w:val="center"/>
          </w:tcPr>
          <w:p>
            <w:r>
              <w:rPr>
                <w:b/>
                <w:bCs/>
                <w:color w:val="FFFFFF"/>
                <w:sz w:val="19"/>
                <w:szCs w:val="19"/>
              </w:rPr>
              <w:t xml:space="preserve">API / access</w:t>
            </w:r>
          </w:p>
        </w:tc>
        <w:tc>
          <w:tcPr>
            <w:tcW w:type="dxa" w:w="1000"/>
            <w:shd w:fill="1f3b57" w:val="clear"/>
            <w:tcMar>
              <w:top w:type="dxa" w:w="80"/>
              <w:left w:type="dxa" w:w="100"/>
              <w:bottom w:type="dxa" w:w="80"/>
              <w:right w:type="dxa" w:w="100"/>
            </w:tcMar>
            <w:vAlign w:val="center"/>
          </w:tcPr>
          <w:p>
            <w:r>
              <w:rPr>
                <w:b/>
                <w:bCs/>
                <w:color w:val="FFFFFF"/>
                <w:sz w:val="19"/>
                <w:szCs w:val="19"/>
              </w:rPr>
              <w:t xml:space="preserve">Difficulty</w:t>
            </w:r>
          </w:p>
        </w:tc>
      </w:tr>
      <w:tr>
        <w:tc>
          <w:tcPr>
            <w:tcW w:type="dxa" w:w="3000"/>
            <w:tcMar>
              <w:top w:type="dxa" w:w="80"/>
              <w:left w:type="dxa" w:w="100"/>
              <w:bottom w:type="dxa" w:w="80"/>
              <w:right w:type="dxa" w:w="100"/>
            </w:tcMar>
            <w:vAlign w:val="center"/>
          </w:tcPr>
          <w:p>
            <w:r>
              <w:rPr>
                <w:b w:val="false"/>
                <w:bCs w:val="false"/>
                <w:color w:val="222222"/>
                <w:sz w:val="19"/>
                <w:szCs w:val="19"/>
              </w:rPr>
              <w:t xml:space="preserve">Sunnah.com API</w:t>
            </w:r>
          </w:p>
        </w:tc>
        <w:tc>
          <w:tcPr>
            <w:tcW w:type="dxa" w:w="2600"/>
            <w:tcMar>
              <w:top w:type="dxa" w:w="80"/>
              <w:left w:type="dxa" w:w="100"/>
              <w:bottom w:type="dxa" w:w="80"/>
              <w:right w:type="dxa" w:w="100"/>
            </w:tcMar>
            <w:vAlign w:val="center"/>
          </w:tcPr>
          <w:p>
            <w:r>
              <w:rPr>
                <w:b w:val="false"/>
                <w:bCs w:val="false"/>
                <w:color w:val="222222"/>
                <w:sz w:val="19"/>
                <w:szCs w:val="19"/>
              </w:rPr>
              <w:t xml:space="preserve">A — the most authoritative digital hadith source, full grading included</w:t>
            </w:r>
          </w:p>
        </w:tc>
        <w:tc>
          <w:tcPr>
            <w:tcW w:type="dxa" w:w="2000"/>
            <w:tcMar>
              <w:top w:type="dxa" w:w="80"/>
              <w:left w:type="dxa" w:w="100"/>
              <w:bottom w:type="dxa" w:w="80"/>
              <w:right w:type="dxa" w:w="100"/>
            </w:tcMar>
            <w:vAlign w:val="center"/>
          </w:tcPr>
          <w:p>
            <w:r>
              <w:rPr>
                <w:b w:val="false"/>
                <w:bCs w:val="false"/>
                <w:color w:val="222222"/>
                <w:sz w:val="19"/>
                <w:szCs w:val="19"/>
              </w:rPr>
              <w:t xml:space="preserve">Institutional, access-controlled</w:t>
            </w:r>
          </w:p>
        </w:tc>
        <w:tc>
          <w:tcPr>
            <w:tcW w:type="dxa" w:w="2000"/>
            <w:tcMar>
              <w:top w:type="dxa" w:w="80"/>
              <w:left w:type="dxa" w:w="100"/>
              <w:bottom w:type="dxa" w:w="80"/>
              <w:right w:type="dxa" w:w="100"/>
            </w:tcMar>
            <w:vAlign w:val="center"/>
          </w:tcPr>
          <w:p>
            <w:r>
              <w:rPr>
                <w:b w:val="false"/>
                <w:bCs w:val="false"/>
                <w:color w:val="222222"/>
                <w:sz w:val="19"/>
                <w:szCs w:val="19"/>
              </w:rPr>
              <w:t xml:space="preserve">REST API, key issued manually via GitHub request; offline bulk dump not currently available</w:t>
            </w:r>
          </w:p>
        </w:tc>
        <w:tc>
          <w:tcPr>
            <w:tcW w:type="dxa" w:w="1000"/>
            <w:tcMar>
              <w:top w:type="dxa" w:w="80"/>
              <w:left w:type="dxa" w:w="100"/>
              <w:bottom w:type="dxa" w:w="80"/>
              <w:right w:type="dxa" w:w="100"/>
            </w:tcMar>
            <w:vAlign w:val="center"/>
          </w:tcPr>
          <w:p>
            <w:r>
              <w:rPr>
                <w:b w:val="false"/>
                <w:bCs w:val="false"/>
                <w:color w:val="222222"/>
                <w:sz w:val="19"/>
                <w:szCs w:val="19"/>
              </w:rPr>
              <w:t xml:space="preserve">Moderate (manual approval, reported latency)</w:t>
            </w:r>
          </w:p>
        </w:tc>
      </w:tr>
      <w:tr>
        <w:tc>
          <w:tcPr>
            <w:tcW w:type="dxa" w:w="3000"/>
            <w:shd w:fill="F2ECDF" w:val="clear"/>
            <w:tcMar>
              <w:top w:type="dxa" w:w="80"/>
              <w:left w:type="dxa" w:w="100"/>
              <w:bottom w:type="dxa" w:w="80"/>
              <w:right w:type="dxa" w:w="100"/>
            </w:tcMar>
            <w:vAlign w:val="center"/>
          </w:tcPr>
          <w:p>
            <w:r>
              <w:rPr>
                <w:b w:val="false"/>
                <w:bCs w:val="false"/>
                <w:color w:val="222222"/>
                <w:sz w:val="19"/>
                <w:szCs w:val="19"/>
              </w:rPr>
              <w:t xml:space="preserve">hadithapi.com</w:t>
            </w:r>
          </w:p>
        </w:tc>
        <w:tc>
          <w:tcPr>
            <w:tcW w:type="dxa" w:w="2600"/>
            <w:shd w:fill="F2ECDF" w:val="clear"/>
            <w:tcMar>
              <w:top w:type="dxa" w:w="80"/>
              <w:left w:type="dxa" w:w="100"/>
              <w:bottom w:type="dxa" w:w="80"/>
              <w:right w:type="dxa" w:w="100"/>
            </w:tcMar>
            <w:vAlign w:val="center"/>
          </w:tcPr>
          <w:p>
            <w:r>
              <w:rPr>
                <w:b w:val="false"/>
                <w:bCs w:val="false"/>
                <w:color w:val="222222"/>
                <w:sz w:val="19"/>
                <w:szCs w:val="19"/>
              </w:rPr>
              <w:t xml:space="preserve">B — convenience aggregator built on authentic collections</w:t>
            </w:r>
          </w:p>
        </w:tc>
        <w:tc>
          <w:tcPr>
            <w:tcW w:type="dxa" w:w="2000"/>
            <w:shd w:fill="F2ECDF" w:val="clear"/>
            <w:tcMar>
              <w:top w:type="dxa" w:w="80"/>
              <w:left w:type="dxa" w:w="100"/>
              <w:bottom w:type="dxa" w:w="80"/>
              <w:right w:type="dxa" w:w="100"/>
            </w:tcMar>
            <w:vAlign w:val="center"/>
          </w:tcPr>
          <w:p>
            <w:r>
              <w:rPr>
                <w:b w:val="false"/>
                <w:bCs w:val="false"/>
                <w:color w:val="222222"/>
                <w:sz w:val="19"/>
                <w:szCs w:val="19"/>
              </w:rPr>
              <w:t xml:space="preserve">Free with signup key</w:t>
            </w:r>
          </w:p>
        </w:tc>
        <w:tc>
          <w:tcPr>
            <w:tcW w:type="dxa" w:w="2000"/>
            <w:shd w:fill="F2ECDF" w:val="clear"/>
            <w:tcMar>
              <w:top w:type="dxa" w:w="80"/>
              <w:left w:type="dxa" w:w="100"/>
              <w:bottom w:type="dxa" w:w="80"/>
              <w:right w:type="dxa" w:w="100"/>
            </w:tcMar>
            <w:vAlign w:val="center"/>
          </w:tcPr>
          <w:p>
            <w:r>
              <w:rPr>
                <w:b w:val="false"/>
                <w:bCs w:val="false"/>
                <w:color w:val="222222"/>
                <w:sz w:val="19"/>
                <w:szCs w:val="19"/>
              </w:rPr>
              <w:t xml:space="preserve">REST API, JSON</w:t>
            </w:r>
          </w:p>
        </w:tc>
        <w:tc>
          <w:tcPr>
            <w:tcW w:type="dxa" w:w="1000"/>
            <w:shd w:fill="F2ECDF" w:val="clear"/>
            <w:tcMar>
              <w:top w:type="dxa" w:w="80"/>
              <w:left w:type="dxa" w:w="100"/>
              <w:bottom w:type="dxa" w:w="80"/>
              <w:right w:type="dxa" w:w="100"/>
            </w:tcMar>
            <w:vAlign w:val="center"/>
          </w:tcPr>
          <w:p>
            <w:r>
              <w:rPr>
                <w:b w:val="false"/>
                <w:bCs w:val="false"/>
                <w:color w:val="222222"/>
                <w:sz w:val="19"/>
                <w:szCs w:val="19"/>
              </w:rPr>
              <w:t xml:space="preserve">Low</w:t>
            </w:r>
          </w:p>
        </w:tc>
      </w:tr>
      <w:tr>
        <w:tc>
          <w:tcPr>
            <w:tcW w:type="dxa" w:w="3000"/>
            <w:tcMar>
              <w:top w:type="dxa" w:w="80"/>
              <w:left w:type="dxa" w:w="100"/>
              <w:bottom w:type="dxa" w:w="80"/>
              <w:right w:type="dxa" w:w="100"/>
            </w:tcMar>
            <w:vAlign w:val="center"/>
          </w:tcPr>
          <w:p>
            <w:r>
              <w:rPr>
                <w:b w:val="false"/>
                <w:bCs w:val="false"/>
                <w:color w:val="222222"/>
                <w:sz w:val="19"/>
                <w:szCs w:val="19"/>
              </w:rPr>
              <w:t xml:space="preserve">fawazahmed0/hadith-api, AhmedBaset/hadith-json (open GitHub datasets)</w:t>
            </w:r>
          </w:p>
        </w:tc>
        <w:tc>
          <w:tcPr>
            <w:tcW w:type="dxa" w:w="2600"/>
            <w:tcMar>
              <w:top w:type="dxa" w:w="80"/>
              <w:left w:type="dxa" w:w="100"/>
              <w:bottom w:type="dxa" w:w="80"/>
              <w:right w:type="dxa" w:w="100"/>
            </w:tcMar>
            <w:vAlign w:val="center"/>
          </w:tcPr>
          <w:p>
            <w:r>
              <w:rPr>
                <w:b w:val="false"/>
                <w:bCs w:val="false"/>
                <w:color w:val="222222"/>
                <w:sz w:val="19"/>
                <w:szCs w:val="19"/>
              </w:rPr>
              <w:t xml:space="preserve">B — community-compiled, generally accurate but not institutionally graded</w:t>
            </w:r>
          </w:p>
        </w:tc>
        <w:tc>
          <w:tcPr>
            <w:tcW w:type="dxa" w:w="2000"/>
            <w:tcMar>
              <w:top w:type="dxa" w:w="80"/>
              <w:left w:type="dxa" w:w="100"/>
              <w:bottom w:type="dxa" w:w="80"/>
              <w:right w:type="dxa" w:w="100"/>
            </w:tcMar>
            <w:vAlign w:val="center"/>
          </w:tcPr>
          <w:p>
            <w:r>
              <w:rPr>
                <w:b w:val="false"/>
                <w:bCs w:val="false"/>
                <w:color w:val="222222"/>
                <w:sz w:val="19"/>
                <w:szCs w:val="19"/>
              </w:rPr>
              <w:t xml:space="preserve">Permissive (MIT-style)</w:t>
            </w:r>
          </w:p>
        </w:tc>
        <w:tc>
          <w:tcPr>
            <w:tcW w:type="dxa" w:w="2000"/>
            <w:tcMar>
              <w:top w:type="dxa" w:w="80"/>
              <w:left w:type="dxa" w:w="100"/>
              <w:bottom w:type="dxa" w:w="80"/>
              <w:right w:type="dxa" w:w="100"/>
            </w:tcMar>
            <w:vAlign w:val="center"/>
          </w:tcPr>
          <w:p>
            <w:r>
              <w:rPr>
                <w:b w:val="false"/>
                <w:bCs w:val="false"/>
                <w:color w:val="222222"/>
                <w:sz w:val="19"/>
                <w:szCs w:val="19"/>
              </w:rPr>
              <w:t xml:space="preserve">Static JSON via CDN, no key</w:t>
            </w:r>
          </w:p>
        </w:tc>
        <w:tc>
          <w:tcPr>
            <w:tcW w:type="dxa" w:w="1000"/>
            <w:tcMar>
              <w:top w:type="dxa" w:w="80"/>
              <w:left w:type="dxa" w:w="100"/>
              <w:bottom w:type="dxa" w:w="80"/>
              <w:right w:type="dxa" w:w="100"/>
            </w:tcMar>
            <w:vAlign w:val="center"/>
          </w:tcPr>
          <w:p>
            <w:r>
              <w:rPr>
                <w:b w:val="false"/>
                <w:bCs w:val="false"/>
                <w:color w:val="222222"/>
                <w:sz w:val="19"/>
                <w:szCs w:val="19"/>
              </w:rPr>
              <w:t xml:space="preserve">Low, but spot-check grading against Sunnah.com before shipping</w:t>
            </w:r>
          </w:p>
        </w:tc>
      </w:tr>
    </w:tbl>
    <w:p>
      <w:pPr>
        <w:pStyle w:val="Heading2"/>
        <w:spacing w:after="120" w:before="260"/>
      </w:pPr>
      <w:r>
        <w:t xml:space="preserve">6.3 Seerah Reference Works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600"/>
        <w:gridCol w:w="3200"/>
      </w:tblGrid>
      <w:tr>
        <w:trPr>
          <w:tblHeader/>
        </w:trPr>
        <w:tc>
          <w:tcPr>
            <w:tcW w:type="dxa" w:w="3600"/>
            <w:shd w:fill="1f3b57" w:val="clear"/>
            <w:tcMar>
              <w:top w:type="dxa" w:w="80"/>
              <w:left w:type="dxa" w:w="100"/>
              <w:bottom w:type="dxa" w:w="80"/>
              <w:right w:type="dxa" w:w="100"/>
            </w:tcMar>
            <w:vAlign w:val="center"/>
          </w:tcPr>
          <w:p>
            <w:r>
              <w:rPr>
                <w:b/>
                <w:bCs/>
                <w:color w:val="FFFFFF"/>
                <w:sz w:val="19"/>
                <w:szCs w:val="19"/>
              </w:rPr>
              <w:t xml:space="preserve">Source</w:t>
            </w:r>
          </w:p>
        </w:tc>
        <w:tc>
          <w:tcPr>
            <w:tcW w:type="dxa" w:w="1800"/>
            <w:shd w:fill="1f3b57" w:val="clear"/>
            <w:tcMar>
              <w:top w:type="dxa" w:w="80"/>
              <w:left w:type="dxa" w:w="100"/>
              <w:bottom w:type="dxa" w:w="80"/>
              <w:right w:type="dxa" w:w="100"/>
            </w:tcMar>
            <w:vAlign w:val="center"/>
          </w:tcPr>
          <w:p>
            <w:r>
              <w:rPr>
                <w:b/>
                <w:bCs/>
                <w:color w:val="FFFFFF"/>
                <w:sz w:val="19"/>
                <w:szCs w:val="19"/>
              </w:rPr>
              <w:t xml:space="preserve">Reliability</w:t>
            </w:r>
          </w:p>
        </w:tc>
        <w:tc>
          <w:tcPr>
            <w:tcW w:type="dxa" w:w="2600"/>
            <w:shd w:fill="1f3b57" w:val="clear"/>
            <w:tcMar>
              <w:top w:type="dxa" w:w="80"/>
              <w:left w:type="dxa" w:w="100"/>
              <w:bottom w:type="dxa" w:w="80"/>
              <w:right w:type="dxa" w:w="100"/>
            </w:tcMar>
            <w:vAlign w:val="center"/>
          </w:tcPr>
          <w:p>
            <w:r>
              <w:rPr>
                <w:b/>
                <w:bCs/>
                <w:color w:val="FFFFFF"/>
                <w:sz w:val="19"/>
                <w:szCs w:val="19"/>
              </w:rPr>
              <w:t xml:space="preserve">Licensing status</w:t>
            </w:r>
          </w:p>
        </w:tc>
        <w:tc>
          <w:tcPr>
            <w:tcW w:type="dxa" w:w="3200"/>
            <w:shd w:fill="1f3b57" w:val="clear"/>
            <w:tcMar>
              <w:top w:type="dxa" w:w="80"/>
              <w:left w:type="dxa" w:w="100"/>
              <w:bottom w:type="dxa" w:w="80"/>
              <w:right w:type="dxa" w:w="100"/>
            </w:tcMar>
            <w:vAlign w:val="center"/>
          </w:tcPr>
          <w:p>
            <w:r>
              <w:rPr>
                <w:b/>
                <w:bCs/>
                <w:color w:val="FFFFFF"/>
                <w:sz w:val="19"/>
                <w:szCs w:val="19"/>
              </w:rPr>
              <w:t xml:space="preserve">Notes</w:t>
            </w:r>
          </w:p>
        </w:tc>
      </w:tr>
      <w:tr>
        <w:tc>
          <w:tcPr>
            <w:tcW w:type="dxa" w:w="3600"/>
            <w:tcMar>
              <w:top w:type="dxa" w:w="80"/>
              <w:left w:type="dxa" w:w="100"/>
              <w:bottom w:type="dxa" w:w="80"/>
              <w:right w:type="dxa" w:w="100"/>
            </w:tcMar>
            <w:vAlign w:val="center"/>
          </w:tcPr>
          <w:p>
            <w:r>
              <w:rPr>
                <w:b w:val="false"/>
                <w:bCs w:val="false"/>
                <w:color w:val="222222"/>
                <w:sz w:val="19"/>
                <w:szCs w:val="19"/>
              </w:rPr>
              <w:t xml:space="preserve">Ibn Hisham's As-Sirah an-Nabawiyyah</w:t>
            </w:r>
          </w:p>
        </w:tc>
        <w:tc>
          <w:tcPr>
            <w:tcW w:type="dxa" w:w="1800"/>
            <w:tcMar>
              <w:top w:type="dxa" w:w="80"/>
              <w:left w:type="dxa" w:w="100"/>
              <w:bottom w:type="dxa" w:w="80"/>
              <w:right w:type="dxa" w:w="100"/>
            </w:tcMar>
            <w:vAlign w:val="center"/>
          </w:tcPr>
          <w:p>
            <w:r>
              <w:rPr>
                <w:b w:val="false"/>
                <w:bCs w:val="false"/>
                <w:color w:val="222222"/>
                <w:sz w:val="19"/>
                <w:szCs w:val="19"/>
              </w:rPr>
              <w:t xml:space="preserve">A — earliest complete classical Seerah</w:t>
            </w:r>
          </w:p>
        </w:tc>
        <w:tc>
          <w:tcPr>
            <w:tcW w:type="dxa" w:w="2600"/>
            <w:tcMar>
              <w:top w:type="dxa" w:w="80"/>
              <w:left w:type="dxa" w:w="100"/>
              <w:bottom w:type="dxa" w:w="80"/>
              <w:right w:type="dxa" w:w="100"/>
            </w:tcMar>
            <w:vAlign w:val="center"/>
          </w:tcPr>
          <w:p>
            <w:r>
              <w:rPr>
                <w:b w:val="false"/>
                <w:bCs w:val="false"/>
                <w:color w:val="222222"/>
                <w:sz w:val="19"/>
                <w:szCs w:val="19"/>
              </w:rPr>
              <w:t xml:space="preserve">Original Arabic is public domain; English translation copyright varies by edition</w:t>
            </w:r>
          </w:p>
        </w:tc>
        <w:tc>
          <w:tcPr>
            <w:tcW w:type="dxa" w:w="3200"/>
            <w:tcMar>
              <w:top w:type="dxa" w:w="80"/>
              <w:left w:type="dxa" w:w="100"/>
              <w:bottom w:type="dxa" w:w="80"/>
              <w:right w:type="dxa" w:w="100"/>
            </w:tcMar>
            <w:vAlign w:val="center"/>
          </w:tcPr>
          <w:p>
            <w:r>
              <w:rPr>
                <w:b w:val="false"/>
                <w:bCs w:val="false"/>
                <w:color w:val="222222"/>
                <w:sz w:val="19"/>
                <w:szCs w:val="19"/>
              </w:rPr>
              <w:t xml:space="preserve">Use with attribution; verify translator rights per edition used</w:t>
            </w:r>
          </w:p>
        </w:tc>
      </w:tr>
      <w:tr>
        <w:tc>
          <w:tcPr>
            <w:tcW w:type="dxa" w:w="3600"/>
            <w:shd w:fill="F2ECDF" w:val="clear"/>
            <w:tcMar>
              <w:top w:type="dxa" w:w="80"/>
              <w:left w:type="dxa" w:w="100"/>
              <w:bottom w:type="dxa" w:w="80"/>
              <w:right w:type="dxa" w:w="100"/>
            </w:tcMar>
            <w:vAlign w:val="center"/>
          </w:tcPr>
          <w:p>
            <w:r>
              <w:rPr>
                <w:b w:val="false"/>
                <w:bCs w:val="false"/>
                <w:color w:val="222222"/>
                <w:sz w:val="19"/>
                <w:szCs w:val="19"/>
              </w:rPr>
              <w:t xml:space="preserve">Ibn Kathir's Al-Sira al-Nabawiyya</w:t>
            </w:r>
          </w:p>
        </w:tc>
        <w:tc>
          <w:tcPr>
            <w:tcW w:type="dxa" w:w="1800"/>
            <w:shd w:fill="F2ECDF" w:val="clear"/>
            <w:tcMar>
              <w:top w:type="dxa" w:w="80"/>
              <w:left w:type="dxa" w:w="100"/>
              <w:bottom w:type="dxa" w:w="80"/>
              <w:right w:type="dxa" w:w="100"/>
            </w:tcMar>
            <w:vAlign w:val="center"/>
          </w:tcPr>
          <w:p>
            <w:r>
              <w:rPr>
                <w:b w:val="false"/>
                <w:bCs w:val="false"/>
                <w:color w:val="222222"/>
                <w:sz w:val="19"/>
                <w:szCs w:val="19"/>
              </w:rPr>
              <w:t xml:space="preserve">A — major classical reference</w:t>
            </w:r>
          </w:p>
        </w:tc>
        <w:tc>
          <w:tcPr>
            <w:tcW w:type="dxa" w:w="2600"/>
            <w:shd w:fill="F2ECDF" w:val="clear"/>
            <w:tcMar>
              <w:top w:type="dxa" w:w="80"/>
              <w:left w:type="dxa" w:w="100"/>
              <w:bottom w:type="dxa" w:w="80"/>
              <w:right w:type="dxa" w:w="100"/>
            </w:tcMar>
            <w:vAlign w:val="center"/>
          </w:tcPr>
          <w:p>
            <w:r>
              <w:rPr>
                <w:b w:val="false"/>
                <w:bCs w:val="false"/>
                <w:color w:val="222222"/>
                <w:sz w:val="19"/>
                <w:szCs w:val="19"/>
              </w:rPr>
              <w:t xml:space="preserve">Modern English translation is commercially published; free scans circulate but aren't formally open-licensed</w:t>
            </w:r>
          </w:p>
        </w:tc>
        <w:tc>
          <w:tcPr>
            <w:tcW w:type="dxa" w:w="3200"/>
            <w:shd w:fill="F2ECDF" w:val="clear"/>
            <w:tcMar>
              <w:top w:type="dxa" w:w="80"/>
              <w:left w:type="dxa" w:w="100"/>
              <w:bottom w:type="dxa" w:w="80"/>
              <w:right w:type="dxa" w:w="100"/>
            </w:tcMar>
            <w:vAlign w:val="center"/>
          </w:tcPr>
          <w:p>
            <w:r>
              <w:rPr>
                <w:b w:val="false"/>
                <w:bCs w:val="false"/>
                <w:color w:val="222222"/>
                <w:sz w:val="19"/>
                <w:szCs w:val="19"/>
              </w:rPr>
              <w:t xml:space="preserve">Treat as “freely available in practice, not open-licensed” — cite and paraphrase rather than bulk-reproduce</w:t>
            </w:r>
          </w:p>
        </w:tc>
      </w:tr>
      <w:tr>
        <w:tc>
          <w:tcPr>
            <w:tcW w:type="dxa" w:w="3600"/>
            <w:tcMar>
              <w:top w:type="dxa" w:w="80"/>
              <w:left w:type="dxa" w:w="100"/>
              <w:bottom w:type="dxa" w:w="80"/>
              <w:right w:type="dxa" w:w="100"/>
            </w:tcMar>
            <w:vAlign w:val="center"/>
          </w:tcPr>
          <w:p>
            <w:r>
              <w:rPr>
                <w:b w:val="false"/>
                <w:bCs w:val="false"/>
                <w:color w:val="222222"/>
                <w:sz w:val="19"/>
                <w:szCs w:val="19"/>
              </w:rPr>
              <w:t xml:space="preserve">Ar-Raheeq Al-Makhtum (The Sealed Nectar)</w:t>
            </w:r>
          </w:p>
        </w:tc>
        <w:tc>
          <w:tcPr>
            <w:tcW w:type="dxa" w:w="1800"/>
            <w:tcMar>
              <w:top w:type="dxa" w:w="80"/>
              <w:left w:type="dxa" w:w="100"/>
              <w:bottom w:type="dxa" w:w="80"/>
              <w:right w:type="dxa" w:w="100"/>
            </w:tcMar>
            <w:vAlign w:val="center"/>
          </w:tcPr>
          <w:p>
            <w:r>
              <w:rPr>
                <w:b w:val="false"/>
                <w:bCs w:val="false"/>
                <w:color w:val="222222"/>
                <w:sz w:val="19"/>
                <w:szCs w:val="19"/>
              </w:rPr>
              <w:t xml:space="preserve">A — award-winning modern synthesis, widely used as a teaching reference</w:t>
            </w:r>
          </w:p>
        </w:tc>
        <w:tc>
          <w:tcPr>
            <w:tcW w:type="dxa" w:w="2600"/>
            <w:tcMar>
              <w:top w:type="dxa" w:w="80"/>
              <w:left w:type="dxa" w:w="100"/>
              <w:bottom w:type="dxa" w:w="80"/>
              <w:right w:type="dxa" w:w="100"/>
            </w:tcMar>
            <w:vAlign w:val="center"/>
          </w:tcPr>
          <w:p>
            <w:r>
              <w:rPr>
                <w:b w:val="false"/>
                <w:bCs w:val="false"/>
                <w:color w:val="222222"/>
                <w:sz w:val="19"/>
                <w:szCs w:val="19"/>
              </w:rPr>
              <w:t xml:space="preserve">Publisher (Darussalam) tolerates wide free dawah distribution but has not issued a formal open license</w:t>
            </w:r>
          </w:p>
        </w:tc>
        <w:tc>
          <w:tcPr>
            <w:tcW w:type="dxa" w:w="3200"/>
            <w:tcMar>
              <w:top w:type="dxa" w:w="80"/>
              <w:left w:type="dxa" w:w="100"/>
              <w:bottom w:type="dxa" w:w="80"/>
              <w:right w:type="dxa" w:w="100"/>
            </w:tcMar>
            <w:vAlign w:val="center"/>
          </w:tcPr>
          <w:p>
            <w:r>
              <w:rPr>
                <w:b w:val="false"/>
                <w:bCs w:val="false"/>
                <w:color w:val="222222"/>
                <w:sz w:val="19"/>
                <w:szCs w:val="19"/>
              </w:rPr>
              <w:t xml:space="preserve">Same treatment as above; contact Darussalam before any commercial redistribution of full text</w:t>
            </w:r>
          </w:p>
        </w:tc>
      </w:tr>
      <w:tr>
        <w:tc>
          <w:tcPr>
            <w:tcW w:type="dxa" w:w="3600"/>
            <w:shd w:fill="F2ECDF" w:val="clear"/>
            <w:tcMar>
              <w:top w:type="dxa" w:w="80"/>
              <w:left w:type="dxa" w:w="100"/>
              <w:bottom w:type="dxa" w:w="80"/>
              <w:right w:type="dxa" w:w="100"/>
            </w:tcMar>
            <w:vAlign w:val="center"/>
          </w:tcPr>
          <w:p>
            <w:r>
              <w:rPr>
                <w:b w:val="false"/>
                <w:bCs w:val="false"/>
                <w:color w:val="222222"/>
                <w:sz w:val="19"/>
                <w:szCs w:val="19"/>
              </w:rPr>
              <w:t xml:space="preserve">Martin Lings, Muhammad: His Life Based on the Earliest Sources</w:t>
            </w:r>
          </w:p>
        </w:tc>
        <w:tc>
          <w:tcPr>
            <w:tcW w:type="dxa" w:w="1800"/>
            <w:shd w:fill="F2ECDF" w:val="clear"/>
            <w:tcMar>
              <w:top w:type="dxa" w:w="80"/>
              <w:left w:type="dxa" w:w="100"/>
              <w:bottom w:type="dxa" w:w="80"/>
              <w:right w:type="dxa" w:w="100"/>
            </w:tcMar>
            <w:vAlign w:val="center"/>
          </w:tcPr>
          <w:p>
            <w:r>
              <w:rPr>
                <w:b w:val="false"/>
                <w:bCs w:val="false"/>
                <w:color w:val="222222"/>
                <w:sz w:val="19"/>
                <w:szCs w:val="19"/>
              </w:rPr>
              <w:t xml:space="preserve">A — respected modern scholarly biography</w:t>
            </w:r>
          </w:p>
        </w:tc>
        <w:tc>
          <w:tcPr>
            <w:tcW w:type="dxa" w:w="2600"/>
            <w:shd w:fill="F2ECDF" w:val="clear"/>
            <w:tcMar>
              <w:top w:type="dxa" w:w="80"/>
              <w:left w:type="dxa" w:w="100"/>
              <w:bottom w:type="dxa" w:w="80"/>
              <w:right w:type="dxa" w:w="100"/>
            </w:tcMar>
            <w:vAlign w:val="center"/>
          </w:tcPr>
          <w:p>
            <w:r>
              <w:rPr>
                <w:b w:val="false"/>
                <w:bCs w:val="false"/>
                <w:color w:val="222222"/>
                <w:sz w:val="19"/>
                <w:szCs w:val="19"/>
              </w:rPr>
              <w:t xml:space="preserve">Actively commercial and in print (Inner Traditions / Islamic Texts Society); freely circulating PDFs are almost certainly infringing</w:t>
            </w:r>
          </w:p>
        </w:tc>
        <w:tc>
          <w:tcPr>
            <w:tcW w:type="dxa" w:w="3200"/>
            <w:shd w:fill="F2ECDF" w:val="clear"/>
            <w:tcMar>
              <w:top w:type="dxa" w:w="80"/>
              <w:left w:type="dxa" w:w="100"/>
              <w:bottom w:type="dxa" w:w="80"/>
              <w:right w:type="dxa" w:w="100"/>
            </w:tcMar>
            <w:vAlign w:val="center"/>
          </w:tcPr>
          <w:p>
            <w:r>
              <w:rPr>
                <w:b w:val="false"/>
                <w:bCs w:val="false"/>
                <w:color w:val="222222"/>
                <w:sz w:val="19"/>
                <w:szCs w:val="19"/>
              </w:rPr>
              <w:t xml:space="preserve">Do NOT use as a bulk free-text source. Cite selectively with permission, or license formally if used substantively.</w:t>
            </w:r>
          </w:p>
        </w:tc>
      </w:tr>
      <w:tr>
        <w:tc>
          <w:tcPr>
            <w:tcW w:type="dxa" w:w="3600"/>
            <w:tcMar>
              <w:top w:type="dxa" w:w="80"/>
              <w:left w:type="dxa" w:w="100"/>
              <w:bottom w:type="dxa" w:w="80"/>
              <w:right w:type="dxa" w:w="100"/>
            </w:tcMar>
            <w:vAlign w:val="center"/>
          </w:tcPr>
          <w:p>
            <w:r>
              <w:rPr>
                <w:b w:val="false"/>
                <w:bCs w:val="false"/>
                <w:color w:val="222222"/>
                <w:sz w:val="19"/>
                <w:szCs w:val="19"/>
              </w:rPr>
              <w:t xml:space="preserve">OpenIslam/seerah-timeline (GitHub)</w:t>
            </w:r>
          </w:p>
        </w:tc>
        <w:tc>
          <w:tcPr>
            <w:tcW w:type="dxa" w:w="1800"/>
            <w:tcMar>
              <w:top w:type="dxa" w:w="80"/>
              <w:left w:type="dxa" w:w="100"/>
              <w:bottom w:type="dxa" w:w="80"/>
              <w:right w:type="dxa" w:w="100"/>
            </w:tcMar>
            <w:vAlign w:val="center"/>
          </w:tcPr>
          <w:p>
            <w:r>
              <w:rPr>
                <w:b w:val="false"/>
                <w:bCs w:val="false"/>
                <w:color w:val="222222"/>
                <w:sz w:val="19"/>
                <w:szCs w:val="19"/>
              </w:rPr>
              <w:t xml:space="preserve">C — small, largely inactive open-source project sourced from Sealed Nectar</w:t>
            </w:r>
          </w:p>
        </w:tc>
        <w:tc>
          <w:tcPr>
            <w:tcW w:type="dxa" w:w="2600"/>
            <w:tcMar>
              <w:top w:type="dxa" w:w="80"/>
              <w:left w:type="dxa" w:w="100"/>
              <w:bottom w:type="dxa" w:w="80"/>
              <w:right w:type="dxa" w:w="100"/>
            </w:tcMar>
            <w:vAlign w:val="center"/>
          </w:tcPr>
          <w:p>
            <w:r>
              <w:rPr>
                <w:b w:val="false"/>
                <w:bCs w:val="false"/>
                <w:color w:val="222222"/>
                <w:sz w:val="19"/>
                <w:szCs w:val="19"/>
              </w:rPr>
              <w:t xml:space="preserve">GPL-3.0</w:t>
            </w:r>
          </w:p>
        </w:tc>
        <w:tc>
          <w:tcPr>
            <w:tcW w:type="dxa" w:w="3200"/>
            <w:tcMar>
              <w:top w:type="dxa" w:w="80"/>
              <w:left w:type="dxa" w:w="100"/>
              <w:bottom w:type="dxa" w:w="80"/>
              <w:right w:type="dxa" w:w="100"/>
            </w:tcMar>
            <w:vAlign w:val="center"/>
          </w:tcPr>
          <w:p>
            <w:r>
              <w:rPr>
                <w:b w:val="false"/>
                <w:bCs w:val="false"/>
                <w:color w:val="222222"/>
                <w:sz w:val="19"/>
                <w:szCs w:val="19"/>
              </w:rPr>
              <w:t xml:space="preserve">Too sparse to be a real backbone; useful only as a schema-design reference</w:t>
            </w:r>
          </w:p>
        </w:tc>
      </w:tr>
    </w:tbl>
    <w:p>
      <w:pPr>
        <w:pStyle w:val="Heading2"/>
        <w:spacing w:after="120" w:before="260"/>
      </w:pPr>
      <w:r>
        <w:t xml:space="preserve">6.4 Geography</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4400"/>
      </w:tblGrid>
      <w:tr>
        <w:trPr>
          <w:tblHeader/>
        </w:trPr>
        <w:tc>
          <w:tcPr>
            <w:tcW w:type="dxa" w:w="3200"/>
            <w:shd w:fill="1f3b57" w:val="clear"/>
            <w:tcMar>
              <w:top w:type="dxa" w:w="80"/>
              <w:left w:type="dxa" w:w="100"/>
              <w:bottom w:type="dxa" w:w="80"/>
              <w:right w:type="dxa" w:w="100"/>
            </w:tcMar>
            <w:vAlign w:val="center"/>
          </w:tcPr>
          <w:p>
            <w:r>
              <w:rPr>
                <w:b/>
                <w:bCs/>
                <w:color w:val="FFFFFF"/>
                <w:sz w:val="19"/>
                <w:szCs w:val="19"/>
              </w:rPr>
              <w:t xml:space="preserve">Source</w:t>
            </w:r>
          </w:p>
        </w:tc>
        <w:tc>
          <w:tcPr>
            <w:tcW w:type="dxa" w:w="1800"/>
            <w:shd w:fill="1f3b57" w:val="clear"/>
            <w:tcMar>
              <w:top w:type="dxa" w:w="80"/>
              <w:left w:type="dxa" w:w="100"/>
              <w:bottom w:type="dxa" w:w="80"/>
              <w:right w:type="dxa" w:w="100"/>
            </w:tcMar>
            <w:vAlign w:val="center"/>
          </w:tcPr>
          <w:p>
            <w:r>
              <w:rPr>
                <w:b/>
                <w:bCs/>
                <w:color w:val="FFFFFF"/>
                <w:sz w:val="19"/>
                <w:szCs w:val="19"/>
              </w:rPr>
              <w:t xml:space="preserve">Reliability</w:t>
            </w:r>
          </w:p>
        </w:tc>
        <w:tc>
          <w:tcPr>
            <w:tcW w:type="dxa" w:w="1800"/>
            <w:shd w:fill="1f3b57" w:val="clear"/>
            <w:tcMar>
              <w:top w:type="dxa" w:w="80"/>
              <w:left w:type="dxa" w:w="100"/>
              <w:bottom w:type="dxa" w:w="80"/>
              <w:right w:type="dxa" w:w="100"/>
            </w:tcMar>
            <w:vAlign w:val="center"/>
          </w:tcPr>
          <w:p>
            <w:r>
              <w:rPr>
                <w:b/>
                <w:bCs/>
                <w:color w:val="FFFFFF"/>
                <w:sz w:val="19"/>
                <w:szCs w:val="19"/>
              </w:rPr>
              <w:t xml:space="preserve">Licensing</w:t>
            </w:r>
          </w:p>
        </w:tc>
        <w:tc>
          <w:tcPr>
            <w:tcW w:type="dxa" w:w="4400"/>
            <w:shd w:fill="1f3b57" w:val="clear"/>
            <w:tcMar>
              <w:top w:type="dxa" w:w="80"/>
              <w:left w:type="dxa" w:w="100"/>
              <w:bottom w:type="dxa" w:w="80"/>
              <w:right w:type="dxa" w:w="100"/>
            </w:tcMar>
            <w:vAlign w:val="center"/>
          </w:tcPr>
          <w:p>
            <w:r>
              <w:rPr>
                <w:b/>
                <w:bCs/>
                <w:color w:val="FFFFFF"/>
                <w:sz w:val="19"/>
                <w:szCs w:val="19"/>
              </w:rPr>
              <w:t xml:space="preserve">Notes</w:t>
            </w:r>
          </w:p>
        </w:tc>
      </w:tr>
      <w:tr>
        <w:tc>
          <w:tcPr>
            <w:tcW w:type="dxa" w:w="3200"/>
            <w:tcMar>
              <w:top w:type="dxa" w:w="80"/>
              <w:left w:type="dxa" w:w="100"/>
              <w:bottom w:type="dxa" w:w="80"/>
              <w:right w:type="dxa" w:w="100"/>
            </w:tcMar>
            <w:vAlign w:val="center"/>
          </w:tcPr>
          <w:p>
            <w:r>
              <w:rPr>
                <w:b w:val="false"/>
                <w:bCs w:val="false"/>
                <w:color w:val="222222"/>
                <w:sz w:val="19"/>
                <w:szCs w:val="19"/>
              </w:rPr>
              <w:t xml:space="preserve">OpenStreetMap</w:t>
            </w:r>
          </w:p>
        </w:tc>
        <w:tc>
          <w:tcPr>
            <w:tcW w:type="dxa" w:w="1800"/>
            <w:tcMar>
              <w:top w:type="dxa" w:w="80"/>
              <w:left w:type="dxa" w:w="100"/>
              <w:bottom w:type="dxa" w:w="80"/>
              <w:right w:type="dxa" w:w="100"/>
            </w:tcMar>
            <w:vAlign w:val="center"/>
          </w:tcPr>
          <w:p>
            <w:r>
              <w:rPr>
                <w:b w:val="false"/>
                <w:bCs w:val="false"/>
                <w:color w:val="222222"/>
                <w:sz w:val="19"/>
                <w:szCs w:val="19"/>
              </w:rPr>
              <w:t xml:space="preserve">B — good for modern place references, not historical event sites</w:t>
            </w:r>
          </w:p>
        </w:tc>
        <w:tc>
          <w:tcPr>
            <w:tcW w:type="dxa" w:w="1800"/>
            <w:tcMar>
              <w:top w:type="dxa" w:w="80"/>
              <w:left w:type="dxa" w:w="100"/>
              <w:bottom w:type="dxa" w:w="80"/>
              <w:right w:type="dxa" w:w="100"/>
            </w:tcMar>
            <w:vAlign w:val="center"/>
          </w:tcPr>
          <w:p>
            <w:r>
              <w:rPr>
                <w:b w:val="false"/>
                <w:bCs w:val="false"/>
                <w:color w:val="222222"/>
                <w:sz w:val="19"/>
                <w:szCs w:val="19"/>
              </w:rPr>
              <w:t xml:space="preserve">ODbL</w:t>
            </w:r>
          </w:p>
        </w:tc>
        <w:tc>
          <w:tcPr>
            <w:tcW w:type="dxa" w:w="4400"/>
            <w:tcMar>
              <w:top w:type="dxa" w:w="80"/>
              <w:left w:type="dxa" w:w="100"/>
              <w:bottom w:type="dxa" w:w="80"/>
              <w:right w:type="dxa" w:w="100"/>
            </w:tcMar>
            <w:vAlign w:val="center"/>
          </w:tcPr>
          <w:p>
            <w:r>
              <w:rPr>
                <w:b w:val="false"/>
                <w:bCs w:val="false"/>
                <w:color w:val="222222"/>
                <w:sz w:val="19"/>
                <w:szCs w:val="19"/>
              </w:rPr>
              <w:t xml:space="preserve">Battle/event locations (Badr, Uhud, Khaybar) are not consistently tagged as historical features</w:t>
            </w:r>
          </w:p>
        </w:tc>
      </w:tr>
      <w:tr>
        <w:tc>
          <w:tcPr>
            <w:tcW w:type="dxa" w:w="3200"/>
            <w:shd w:fill="F2ECDF" w:val="clear"/>
            <w:tcMar>
              <w:top w:type="dxa" w:w="80"/>
              <w:left w:type="dxa" w:w="100"/>
              <w:bottom w:type="dxa" w:w="80"/>
              <w:right w:type="dxa" w:w="100"/>
            </w:tcMar>
            <w:vAlign w:val="center"/>
          </w:tcPr>
          <w:p>
            <w:r>
              <w:rPr>
                <w:b w:val="false"/>
                <w:bCs w:val="false"/>
                <w:color w:val="222222"/>
                <w:sz w:val="19"/>
                <w:szCs w:val="19"/>
              </w:rPr>
              <w:t xml:space="preserve">OpenHistoricalMap</w:t>
            </w:r>
          </w:p>
        </w:tc>
        <w:tc>
          <w:tcPr>
            <w:tcW w:type="dxa" w:w="1800"/>
            <w:shd w:fill="F2ECDF" w:val="clear"/>
            <w:tcMar>
              <w:top w:type="dxa" w:w="80"/>
              <w:left w:type="dxa" w:w="100"/>
              <w:bottom w:type="dxa" w:w="80"/>
              <w:right w:type="dxa" w:w="100"/>
            </w:tcMar>
            <w:vAlign w:val="center"/>
          </w:tcPr>
          <w:p>
            <w:r>
              <w:rPr>
                <w:b w:val="false"/>
                <w:bCs w:val="false"/>
                <w:color w:val="222222"/>
                <w:sz w:val="19"/>
                <w:szCs w:val="19"/>
              </w:rPr>
              <w:t xml:space="preserve">B — purpose-built for time-dimensioned historical mapping</w:t>
            </w:r>
          </w:p>
        </w:tc>
        <w:tc>
          <w:tcPr>
            <w:tcW w:type="dxa" w:w="1800"/>
            <w:shd w:fill="F2ECDF" w:val="clear"/>
            <w:tcMar>
              <w:top w:type="dxa" w:w="80"/>
              <w:left w:type="dxa" w:w="100"/>
              <w:bottom w:type="dxa" w:w="80"/>
              <w:right w:type="dxa" w:w="100"/>
            </w:tcMar>
            <w:vAlign w:val="center"/>
          </w:tcPr>
          <w:p>
            <w:r>
              <w:rPr>
                <w:b w:val="false"/>
                <w:bCs w:val="false"/>
                <w:color w:val="222222"/>
                <w:sz w:val="19"/>
                <w:szCs w:val="19"/>
              </w:rPr>
              <w:t xml:space="preserve">ODbL</w:t>
            </w:r>
          </w:p>
        </w:tc>
        <w:tc>
          <w:tcPr>
            <w:tcW w:type="dxa" w:w="4400"/>
            <w:shd w:fill="F2ECDF" w:val="clear"/>
            <w:tcMar>
              <w:top w:type="dxa" w:w="80"/>
              <w:left w:type="dxa" w:w="100"/>
              <w:bottom w:type="dxa" w:w="80"/>
              <w:right w:type="dxa" w:w="100"/>
            </w:tcMar>
            <w:vAlign w:val="center"/>
          </w:tcPr>
          <w:p>
            <w:r>
              <w:rPr>
                <w:b w:val="false"/>
                <w:bCs w:val="false"/>
                <w:color w:val="222222"/>
                <w:sz w:val="19"/>
                <w:szCs w:val="19"/>
              </w:rPr>
              <w:t xml:space="preserve">Structurally the right fit (start_date/end_date tags, time-slider); Hijaz-era coverage likely needs to be contributed by the team itself</w:t>
            </w:r>
          </w:p>
        </w:tc>
      </w:tr>
      <w:tr>
        <w:tc>
          <w:tcPr>
            <w:tcW w:type="dxa" w:w="3200"/>
            <w:tcMar>
              <w:top w:type="dxa" w:w="80"/>
              <w:left w:type="dxa" w:w="100"/>
              <w:bottom w:type="dxa" w:w="80"/>
              <w:right w:type="dxa" w:w="100"/>
            </w:tcMar>
            <w:vAlign w:val="center"/>
          </w:tcPr>
          <w:p>
            <w:r>
              <w:rPr>
                <w:b w:val="false"/>
                <w:bCs w:val="false"/>
                <w:color w:val="222222"/>
                <w:sz w:val="19"/>
                <w:szCs w:val="19"/>
              </w:rPr>
              <w:t xml:space="preserve">Atlas of Quran (atlasofquran.github.io)</w:t>
            </w:r>
          </w:p>
        </w:tc>
        <w:tc>
          <w:tcPr>
            <w:tcW w:type="dxa" w:w="1800"/>
            <w:tcMar>
              <w:top w:type="dxa" w:w="80"/>
              <w:left w:type="dxa" w:w="100"/>
              <w:bottom w:type="dxa" w:w="80"/>
              <w:right w:type="dxa" w:w="100"/>
            </w:tcMar>
            <w:vAlign w:val="center"/>
          </w:tcPr>
          <w:p>
            <w:r>
              <w:rPr>
                <w:b w:val="false"/>
                <w:bCs w:val="false"/>
                <w:color w:val="222222"/>
                <w:sz w:val="19"/>
                <w:szCs w:val="19"/>
              </w:rPr>
              <w:t xml:space="preserve">B — academic-adjacent open project mapping Quranic prophets, people, and places with linked verses/hadith</w:t>
            </w:r>
          </w:p>
        </w:tc>
        <w:tc>
          <w:tcPr>
            <w:tcW w:type="dxa" w:w="1800"/>
            <w:tcMar>
              <w:top w:type="dxa" w:w="80"/>
              <w:left w:type="dxa" w:w="100"/>
              <w:bottom w:type="dxa" w:w="80"/>
              <w:right w:type="dxa" w:w="100"/>
            </w:tcMar>
            <w:vAlign w:val="center"/>
          </w:tcPr>
          <w:p>
            <w:r>
              <w:rPr>
                <w:b w:val="false"/>
                <w:bCs w:val="false"/>
                <w:color w:val="222222"/>
                <w:sz w:val="19"/>
                <w:szCs w:val="19"/>
              </w:rPr>
              <w:t xml:space="preserve">CC BY-SA 4.0</w:t>
            </w:r>
          </w:p>
        </w:tc>
        <w:tc>
          <w:tcPr>
            <w:tcW w:type="dxa" w:w="4400"/>
            <w:tcMar>
              <w:top w:type="dxa" w:w="80"/>
              <w:left w:type="dxa" w:w="100"/>
              <w:bottom w:type="dxa" w:w="80"/>
              <w:right w:type="dxa" w:w="100"/>
            </w:tcMar>
            <w:vAlign w:val="center"/>
          </w:tcPr>
          <w:p>
            <w:r>
              <w:rPr>
                <w:b w:val="false"/>
                <w:bCs w:val="false"/>
                <w:color w:val="222222"/>
                <w:sz w:val="19"/>
                <w:szCs w:val="19"/>
              </w:rPr>
              <w:t xml:space="preserve">Strong candidate for direct collaboration or dataset reuse; cites Abu Khalil's Atlas of the Qur'an and Ibn Kathir as sources</w:t>
            </w:r>
          </w:p>
        </w:tc>
      </w:tr>
      <w:tr>
        <w:tc>
          <w:tcPr>
            <w:tcW w:type="dxa" w:w="3200"/>
            <w:shd w:fill="F2ECDF" w:val="clear"/>
            <w:tcMar>
              <w:top w:type="dxa" w:w="80"/>
              <w:left w:type="dxa" w:w="100"/>
              <w:bottom w:type="dxa" w:w="80"/>
              <w:right w:type="dxa" w:w="100"/>
            </w:tcMar>
            <w:vAlign w:val="center"/>
          </w:tcPr>
          <w:p>
            <w:r>
              <w:rPr>
                <w:b w:val="false"/>
                <w:bCs w:val="false"/>
                <w:color w:val="222222"/>
                <w:sz w:val="19"/>
                <w:szCs w:val="19"/>
              </w:rPr>
              <w:t xml:space="preserve">Darussalam's Atlas of the Qur'an / Atlas of the Prophet's Biography (print)</w:t>
            </w:r>
          </w:p>
        </w:tc>
        <w:tc>
          <w:tcPr>
            <w:tcW w:type="dxa" w:w="1800"/>
            <w:shd w:fill="F2ECDF" w:val="clear"/>
            <w:tcMar>
              <w:top w:type="dxa" w:w="80"/>
              <w:left w:type="dxa" w:w="100"/>
              <w:bottom w:type="dxa" w:w="80"/>
              <w:right w:type="dxa" w:w="100"/>
            </w:tcMar>
            <w:vAlign w:val="center"/>
          </w:tcPr>
          <w:p>
            <w:r>
              <w:rPr>
                <w:b w:val="false"/>
                <w:bCs w:val="false"/>
                <w:color w:val="222222"/>
                <w:sz w:val="19"/>
                <w:szCs w:val="19"/>
              </w:rPr>
              <w:t xml:space="preserve">A — scholarly reference</w:t>
            </w:r>
          </w:p>
        </w:tc>
        <w:tc>
          <w:tcPr>
            <w:tcW w:type="dxa" w:w="1800"/>
            <w:shd w:fill="F2ECDF" w:val="clear"/>
            <w:tcMar>
              <w:top w:type="dxa" w:w="80"/>
              <w:left w:type="dxa" w:w="100"/>
              <w:bottom w:type="dxa" w:w="80"/>
              <w:right w:type="dxa" w:w="100"/>
            </w:tcMar>
            <w:vAlign w:val="center"/>
          </w:tcPr>
          <w:p>
            <w:r>
              <w:rPr>
                <w:b w:val="false"/>
                <w:bCs w:val="false"/>
                <w:color w:val="222222"/>
                <w:sz w:val="19"/>
                <w:szCs w:val="19"/>
              </w:rPr>
              <w:t xml:space="preserve">Commercial, print-only</w:t>
            </w:r>
          </w:p>
        </w:tc>
        <w:tc>
          <w:tcPr>
            <w:tcW w:type="dxa" w:w="4400"/>
            <w:shd w:fill="F2ECDF" w:val="clear"/>
            <w:tcMar>
              <w:top w:type="dxa" w:w="80"/>
              <w:left w:type="dxa" w:w="100"/>
              <w:bottom w:type="dxa" w:w="80"/>
              <w:right w:type="dxa" w:w="100"/>
            </w:tcMar>
            <w:vAlign w:val="center"/>
          </w:tcPr>
          <w:p>
            <w:r>
              <w:rPr>
                <w:b w:val="false"/>
                <w:bCs w:val="false"/>
                <w:color w:val="222222"/>
                <w:sz w:val="19"/>
                <w:szCs w:val="19"/>
              </w:rPr>
              <w:t xml:space="preserve">No digital GIS data available; useful as a manual reference for the internal research team, not a data feed</w:t>
            </w:r>
          </w:p>
        </w:tc>
      </w:tr>
    </w:tbl>
    <w:p>
      <w:pPr>
        <w:pStyle w:val="Heading2"/>
        <w:spacing w:after="120" w:before="260"/>
      </w:pPr>
      <w:r>
        <w:t xml:space="preserve">6.5 Content Pipeline</w:t>
      </w:r>
    </w:p>
    <w:p>
      <w:pPr>
        <w:spacing w:after="140" w:line="300"/>
      </w:pPr>
      <w:r>
        <w:rPr>
          <w:b w:val="false"/>
          <w:bCs w:val="false"/>
          <w:i w:val="false"/>
          <w:iCs w:val="false"/>
        </w:rPr>
        <w:t xml:space="preserve">Recommended workflow, independent of which specific sources feed a given event: (1) the Research Lead compiles a draft event from at least two independent A-tier sources, citing page/reference for every factual claim; (2) the draft enters the CMS in a “pending review” state, structured against the schema in Section 5; (3) the Scholarly Advisory Board reviews for accuracy, sensitivity, and appropriate certainty tagging, including sectarian-neutrality checks on any point where Sunni sub-schools or historical narrations diverge; (4) approved content is published; (5) any subsequent edit re-enters review before going live. This pipeline is the actual bottleneck on how fast Phase 1 content can ship — plan the MVP timeline around scholarly review throughput, not engineering throughput.</w:t>
      </w:r>
    </w:p>
    <w:p>
      <w:pPr>
        <w:pStyle w:val="Heading1"/>
        <w:pageBreakBefore/>
        <w:spacing w:after="160" w:before="200"/>
      </w:pPr>
      <w:r>
        <w:t xml:space="preserve">7. MVP Scope (Phase 1)</w:t>
      </w:r>
    </w:p>
    <w:p>
      <w:pPr>
        <w:pStyle w:val="Heading2"/>
        <w:spacing w:after="120" w:before="260"/>
      </w:pPr>
      <w:r>
        <w:t xml:space="preserve">7.1 In Scope</w:t>
      </w:r>
    </w:p>
    <w:p>
      <w:pPr>
        <w:pStyle w:val="ListParagraph"/>
        <w:numPr>
          <w:ilvl w:val="0"/>
          <w:numId w:val="2"/>
        </w:numPr>
        <w:spacing w:after="70" w:line="280"/>
      </w:pPr>
      <w:r>
        <w:t xml:space="preserve">45–60 deeply-researched Seerah events, chosen to cover the full Meccan and Medinan periods without gaps in the causal chain (not just the “greatest hits” list, but enough connective events that the “related events” rail always has something real to show).</w:t>
      </w:r>
    </w:p>
    <w:p>
      <w:pPr>
        <w:pStyle w:val="ListParagraph"/>
        <w:numPr>
          <w:ilvl w:val="0"/>
          <w:numId w:val="2"/>
        </w:numPr>
        <w:spacing w:after="70" w:line="280"/>
      </w:pPr>
      <w:r>
        <w:t xml:space="preserve">Two zoom levels on the timeline: era/year view and event-cluster view (the full four-level model in Section 4.2 is a Phase 2 refinement once real usage data shows where users actually zoom).</w:t>
      </w:r>
    </w:p>
    <w:p>
      <w:pPr>
        <w:pStyle w:val="ListParagraph"/>
        <w:numPr>
          <w:ilvl w:val="0"/>
          <w:numId w:val="2"/>
        </w:numPr>
        <w:spacing w:after="70" w:line="280"/>
      </w:pPr>
      <w:r>
        <w:t xml:space="preserve">Full five-panel event detail (Section 1.4) for every event, including a static illustrated map (not yet a live interactive GIS layer — see 7.2).</w:t>
      </w:r>
    </w:p>
    <w:p>
      <w:pPr>
        <w:pStyle w:val="ListParagraph"/>
        <w:numPr>
          <w:ilvl w:val="0"/>
          <w:numId w:val="2"/>
        </w:numPr>
        <w:spacing w:after="70" w:line="280"/>
      </w:pPr>
      <w:r>
        <w:t xml:space="preserve">Keyword + basic natural-language search over event titles and summaries.</w:t>
      </w:r>
    </w:p>
    <w:p>
      <w:pPr>
        <w:pStyle w:val="ListParagraph"/>
        <w:numPr>
          <w:ilvl w:val="0"/>
          <w:numId w:val="2"/>
        </w:numPr>
        <w:spacing w:after="70" w:line="280"/>
      </w:pPr>
      <w:r>
        <w:t xml:space="preserve">Responsive web app (desktop + mobile browser); no native app.</w:t>
      </w:r>
    </w:p>
    <w:p>
      <w:pPr>
        <w:pStyle w:val="ListParagraph"/>
        <w:numPr>
          <w:ilvl w:val="0"/>
          <w:numId w:val="2"/>
        </w:numPr>
        <w:spacing w:after="70" w:line="280"/>
      </w:pPr>
      <w:r>
        <w:t xml:space="preserve">Scholarly review workflow in the CMS (Section 6.5) — this ships with the MVP, not after it.</w:t>
      </w:r>
    </w:p>
    <w:p>
      <w:pPr>
        <w:pStyle w:val="Heading2"/>
        <w:spacing w:after="120" w:before="260"/>
      </w:pPr>
      <w:r>
        <w:t xml:space="preserve">7.2 Deliberately Deferred</w:t>
      </w:r>
    </w:p>
    <w:p>
      <w:pPr>
        <w:pStyle w:val="ListParagraph"/>
        <w:numPr>
          <w:ilvl w:val="0"/>
          <w:numId w:val="2"/>
        </w:numPr>
        <w:spacing w:after="70" w:line="280"/>
      </w:pPr>
      <w:r>
        <w:t xml:space="preserve">Live interactive map with routes/animation (Phase 1 ships high-quality static maps per event; the interactive MapLibre GL layer is a fast-follow once the core timeline is validated).</w:t>
      </w:r>
    </w:p>
    <w:p>
      <w:pPr>
        <w:pStyle w:val="ListParagraph"/>
        <w:numPr>
          <w:ilvl w:val="0"/>
          <w:numId w:val="2"/>
        </w:numPr>
        <w:spacing w:after="70" w:line="280"/>
      </w:pPr>
      <w:r>
        <w:t xml:space="preserve">Companion timeline, prophet stories, Quran Event Explorer, and the open knowledge graph canvas (Phases 2–5).</w:t>
      </w:r>
    </w:p>
    <w:p>
      <w:pPr>
        <w:pStyle w:val="ListParagraph"/>
        <w:numPr>
          <w:ilvl w:val="0"/>
          <w:numId w:val="2"/>
        </w:numPr>
        <w:spacing w:after="70" w:line="280"/>
      </w:pPr>
      <w:r>
        <w:t xml:space="preserve">AI chat / conversational Q&amp;A (Section 9's NL search ships; open conversational AI waits for a proven grounding pipeline).</w:t>
      </w:r>
    </w:p>
    <w:p>
      <w:pPr>
        <w:pStyle w:val="ListParagraph"/>
        <w:numPr>
          <w:ilvl w:val="0"/>
          <w:numId w:val="2"/>
        </w:numPr>
        <w:spacing w:after="70" w:line="280"/>
      </w:pPr>
      <w:r>
        <w:t xml:space="preserve">Personalization, accounts, learning-path authoring tools for teachers (manually curated paths ship in Phase 1; a teacher-facing path builder is Phase 2).</w:t>
      </w:r>
    </w:p>
    <w:p>
      <w:pPr>
        <w:spacing w:after="140" w:line="300"/>
      </w:pPr>
      <w:r>
        <w:rPr>
          <w:b w:val="false"/>
          <w:bCs w:val="false"/>
          <w:i w:val="false"/>
          <w:iCs w:val="false"/>
        </w:rPr>
        <w:t xml:space="preserve">Estimated MVP timeline: 5–6 months, gated primarily by scholarly content review throughput (Section 6.5) rather than engineering — plan to start content research in parallel with, not after, engineering setup.</w:t>
      </w:r>
    </w:p>
    <w:p>
      <w:pPr>
        <w:pStyle w:val="Heading1"/>
        <w:pageBreakBefore/>
        <w:spacing w:after="160" w:before="200"/>
      </w:pPr>
      <w:r>
        <w:t xml:space="preserve">8. Technical Architecture</w:t>
      </w:r>
    </w:p>
    <w:p>
      <w:pPr>
        <w:spacing w:after="140" w:line="300"/>
      </w:pPr>
      <w:r>
        <w:rPr>
          <w:b w:val="false"/>
          <w:bCs w:val="false"/>
          <w:i w:val="false"/>
          <w:iCs w:val="false"/>
        </w:rPr>
        <w:t xml:space="preserve">This section is written around the founding team's existing stack — Java/Spring Boot, Angular, AWS-native infrastructure, and Kafka-based event-driven patterns — rather than a generic greenfield recommendation, on the reasoning that shipping fast on tools the team can already operate at senior level beats a theoretically-optimal stack that costs months of ramp-up. Every choice below is a technology already present on the team's CV; nothing here requires learning a new ecosystem to hit MVP.</w:t>
      </w:r>
    </w:p>
    <w:p>
      <w:pPr>
        <w:pStyle w:val="Heading2"/>
        <w:spacing w:after="120" w:before="260"/>
      </w:pPr>
      <w:r>
        <w:t xml:space="preserve">8.1 Frontend</w:t>
      </w:r>
    </w:p>
    <w:p>
      <w:pPr>
        <w:spacing w:after="140" w:line="300"/>
      </w:pPr>
      <w:r>
        <w:rPr>
          <w:b w:val="false"/>
          <w:bCs w:val="false"/>
          <w:i w:val="false"/>
          <w:iCs w:val="false"/>
        </w:rPr>
        <w:t xml:space="preserve">Recommendation: Angular (latest LTS), consistent with the team's deep Angular/NgRx/NGXS/RxJS/Angular Material background. Angular's opinionated structure and built-in DI/testing conventions are a good fit for a content-heavy, multi-team-eventually app like this one, and Angular Signals is the right tool for the highly interactive, frequently-updating timeline UI. State management: NGXS or NgRx for the handful of genuinely cross-cutting states (current zoom level/date range, selected event, active filters) — either is a safe choice given hands-on production experience with both. The zoomable timeline canvas is the one place to reach outside Angular's default toolkit: render it with D3.js driven from an Angular directive/service wrapper (sufficient at the 45–60 event MVP scale), migrating to a WebGL layer (PixiJS, wrapped the same way) only if Phase 3–5 push event counts into the thousands. The map layer uses MapLibre GL (the open-source Mapbox fork, avoiding vendor lock-in and licensing cost) via an Angular wrapper (ngx-maplibre-gl), styled as a custom historical basemap rather than a standard road map. Server-side rendering (Angular Universal) is worth turning on before public launch for SEO on event/person/place pages — each should be individually indexable and shareable, a real growth channel for educational content — but is not a Day 1 blocker.</w:t>
      </w:r>
    </w:p>
    <w:p>
      <w:pPr>
        <w:pStyle w:val="Heading2"/>
        <w:spacing w:after="120" w:before="260"/>
      </w:pPr>
      <w:r>
        <w:t xml:space="preserve">8.2 Backend</w:t>
      </w:r>
    </w:p>
    <w:p>
      <w:pPr>
        <w:spacing w:after="140" w:line="300"/>
      </w:pPr>
      <w:r>
        <w:rPr>
          <w:b w:val="false"/>
          <w:bCs w:val="false"/>
          <w:i w:val="false"/>
          <w:iCs w:val="false"/>
        </w:rPr>
        <w:t xml:space="preserve">Recommendation: Java 21 with Spring Boot 3 (Spring Web/Spring Data JPA/Spring Batch/Spring Security), directly matching the team's primary expertise. Spring Batch is a strong fit specifically for the content-ingestion side of this product — pulling and normalizing data from the Section 6 sources (Quran Foundation API, Sunnah.com API, hadith JSON datasets) into the review queue is exactly the batch-processing shape Spring Batch is built for, not a novel problem to solve. Spring Security + Keycloak handles authentication/authorization from Phase 2 onward when accounts are introduced, with JWT/OAuth2/OIDC as the token model, consistent with prior production use. Architecture: a modular monolith first (Spring Boot with clean hexagonal-style module boundaries), splitting into microservices only where Phase 2+ scale genuinely demands it — this avoids paying the operational tax of microservices (service mesh, distributed tracing, cross-service contracts) before there's a team or traffic volume that needs it, while still keeping the codebase structured so that split is cheap when it happens. If the AI/retrieval layer (Section 9) ends up needing Python-specific ML tooling beyond what Spring AI or a hosted API can cover, isolate it as one dedicated microservice rather than rewriting the core in Python — but start with Spring AI against a hosted model (Section 9) and only reach for a separate service if that proves insufficient.</w:t>
      </w:r>
    </w:p>
    <w:p>
      <w:pPr>
        <w:pStyle w:val="Heading2"/>
        <w:spacing w:after="120" w:before="260"/>
      </w:pPr>
      <w:r>
        <w:t xml:space="preserve">8.3 Storage</w:t>
      </w:r>
    </w:p>
    <w:p>
      <w:pPr>
        <w:spacing w:after="140" w:line="300"/>
      </w:pPr>
      <w:r>
        <w:rPr>
          <w:b w:val="false"/>
          <w:bCs w:val="false"/>
          <w:i w:val="false"/>
          <w:iCs w:val="false"/>
        </w:rPr>
        <w:t xml:space="preserve">As detailed in Section 5.3: PostgreSQL (Spring Data JPA + Liquibase for schema migrations) as system of record from day one; Elasticsearch and Neo4j introduced later as usage justifies them, synced via Kafka Connect + Debezium CDC rather than a bespoke ETL job (Section 5.3) — Kafka-based asynchronous processing is already the team's default choice for resilient messaging, so this reuses an existing operational pattern instead of introducing a new one. Media (maps, illustrations, diagrams) in S3 behind CloudFront. Redis for caching hot timeline queries once traffic warrants it — not needed at MVP scale.</w:t>
      </w:r>
    </w:p>
    <w:p>
      <w:pPr>
        <w:pStyle w:val="Heading2"/>
        <w:spacing w:after="120" w:before="260"/>
      </w:pPr>
      <w:r>
        <w:t xml:space="preserve">8.4 Content Management</w:t>
      </w:r>
    </w:p>
    <w:p>
      <w:pPr>
        <w:spacing w:after="140" w:line="300"/>
      </w:pPr>
      <w:r>
        <w:rPr>
          <w:b w:val="false"/>
          <w:bCs w:val="false"/>
          <w:i w:val="false"/>
          <w:iCs w:val="false"/>
        </w:rPr>
        <w:t xml:space="preserve">Rather than bolting on a third-party headless CMS (Payload/Sanity), build the review-workflow admin as a Spring Boot module with an Angular admin UI, reusing the same backend and Liquibase-managed schema as the public API instead of syncing content between two systems. This is more build effort up front than adopting a CMS product, but it is the right tradeoff here specifically because the review workflow (draft → scholarly review → approved → published, Section 6.5) is a custom state machine with domain-specific rules (certainty tagging, citation requirements, advisory-board sign-off) that a generic CMS would have to be awkwardly bent around — and it is a small, well-understood Spring Boot CRUD-plus-workflow build given the team's Spring Data depth.</w:t>
      </w:r>
    </w:p>
    <w:p>
      <w:pPr>
        <w:pStyle w:val="Heading2"/>
        <w:spacing w:after="120" w:before="260"/>
      </w:pPr>
      <w:r>
        <w:t xml:space="preserve">8.5 Infrastructure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100"/>
      </w:tblGrid>
      <w:tr>
        <w:trPr>
          <w:tblHeader/>
        </w:trPr>
        <w:tc>
          <w:tcPr>
            <w:tcW w:type="dxa" w:w="1600"/>
            <w:shd w:fill="1f3b57" w:val="clear"/>
            <w:tcMar>
              <w:top w:type="dxa" w:w="80"/>
              <w:left w:type="dxa" w:w="100"/>
              <w:bottom w:type="dxa" w:w="80"/>
              <w:right w:type="dxa" w:w="100"/>
            </w:tcMar>
            <w:vAlign w:val="center"/>
          </w:tcPr>
          <w:p>
            <w:r>
              <w:rPr>
                <w:b/>
                <w:bCs/>
                <w:color w:val="FFFFFF"/>
                <w:sz w:val="19"/>
                <w:szCs w:val="19"/>
              </w:rPr>
              <w:t xml:space="preserve">Layer</w:t>
            </w:r>
          </w:p>
        </w:tc>
        <w:tc>
          <w:tcPr>
            <w:tcW w:type="dxa" w:w="3900"/>
            <w:shd w:fill="1f3b57" w:val="clear"/>
            <w:tcMar>
              <w:top w:type="dxa" w:w="80"/>
              <w:left w:type="dxa" w:w="100"/>
              <w:bottom w:type="dxa" w:w="80"/>
              <w:right w:type="dxa" w:w="100"/>
            </w:tcMar>
            <w:vAlign w:val="center"/>
          </w:tcPr>
          <w:p>
            <w:r>
              <w:rPr>
                <w:b/>
                <w:bCs/>
                <w:color w:val="FFFFFF"/>
                <w:sz w:val="19"/>
                <w:szCs w:val="19"/>
              </w:rPr>
              <w:t xml:space="preserve">MVP recommendation</w:t>
            </w:r>
          </w:p>
        </w:tc>
        <w:tc>
          <w:tcPr>
            <w:tcW w:type="dxa" w:w="3100"/>
            <w:shd w:fill="1f3b57" w:val="clear"/>
            <w:tcMar>
              <w:top w:type="dxa" w:w="80"/>
              <w:left w:type="dxa" w:w="100"/>
              <w:bottom w:type="dxa" w:w="80"/>
              <w:right w:type="dxa" w:w="100"/>
            </w:tcMar>
            <w:vAlign w:val="center"/>
          </w:tcPr>
          <w:p>
            <w:r>
              <w:rPr>
                <w:b/>
                <w:bCs/>
                <w:color w:val="FFFFFF"/>
                <w:sz w:val="19"/>
                <w:szCs w:val="19"/>
              </w:rPr>
              <w:t xml:space="preserve">Why</w:t>
            </w:r>
          </w:p>
        </w:tc>
      </w:tr>
      <w:tr>
        <w:tc>
          <w:tcPr>
            <w:tcW w:type="dxa" w:w="1600"/>
            <w:tcMar>
              <w:top w:type="dxa" w:w="80"/>
              <w:left w:type="dxa" w:w="100"/>
              <w:bottom w:type="dxa" w:w="80"/>
              <w:right w:type="dxa" w:w="100"/>
            </w:tcMar>
            <w:vAlign w:val="center"/>
          </w:tcPr>
          <w:p>
            <w:r>
              <w:rPr>
                <w:b w:val="false"/>
                <w:bCs w:val="false"/>
                <w:color w:val="222222"/>
                <w:sz w:val="19"/>
                <w:szCs w:val="19"/>
              </w:rPr>
              <w:t xml:space="preserve">Hosting</w:t>
            </w:r>
          </w:p>
        </w:tc>
        <w:tc>
          <w:tcPr>
            <w:tcW w:type="dxa" w:w="3900"/>
            <w:tcMar>
              <w:top w:type="dxa" w:w="80"/>
              <w:left w:type="dxa" w:w="100"/>
              <w:bottom w:type="dxa" w:w="80"/>
              <w:right w:type="dxa" w:w="100"/>
            </w:tcMar>
            <w:vAlign w:val="center"/>
          </w:tcPr>
          <w:p>
            <w:r>
              <w:rPr>
                <w:b w:val="false"/>
                <w:bCs w:val="false"/>
                <w:color w:val="222222"/>
                <w:sz w:val="19"/>
                <w:szCs w:val="19"/>
              </w:rPr>
              <w:t xml:space="preserve">AWS from day one: ECS Fargate for the Spring Boot API, S3 + CloudFront for the Angular build, RDS PostgreSQL (Multi-AZ off until real traffic justifies the cost)</w:t>
            </w:r>
          </w:p>
        </w:tc>
        <w:tc>
          <w:tcPr>
            <w:tcW w:type="dxa" w:w="3100"/>
            <w:tcMar>
              <w:top w:type="dxa" w:w="80"/>
              <w:left w:type="dxa" w:w="100"/>
              <w:bottom w:type="dxa" w:w="80"/>
              <w:right w:type="dxa" w:w="100"/>
            </w:tcMar>
            <w:vAlign w:val="center"/>
          </w:tcPr>
          <w:p>
            <w:r>
              <w:rPr>
                <w:b w:val="false"/>
                <w:bCs w:val="false"/>
                <w:color w:val="222222"/>
                <w:sz w:val="19"/>
                <w:szCs w:val="19"/>
              </w:rPr>
              <w:t xml:space="preserve">The team is AWS Certified with hands-on ECS/S3/SQS/SNS/ALB/IAM experience — going AWS-native from Day 1 avoids the detour of learning an unfamiliar hosting stack only to migrate off it later</w:t>
            </w:r>
          </w:p>
        </w:tc>
      </w:tr>
      <w:tr>
        <w:tc>
          <w:tcPr>
            <w:tcW w:type="dxa" w:w="1600"/>
            <w:shd w:fill="F2ECDF" w:val="clear"/>
            <w:tcMar>
              <w:top w:type="dxa" w:w="80"/>
              <w:left w:type="dxa" w:w="100"/>
              <w:bottom w:type="dxa" w:w="80"/>
              <w:right w:type="dxa" w:w="100"/>
            </w:tcMar>
            <w:vAlign w:val="center"/>
          </w:tcPr>
          <w:p>
            <w:r>
              <w:rPr>
                <w:b w:val="false"/>
                <w:bCs w:val="false"/>
                <w:color w:val="222222"/>
                <w:sz w:val="19"/>
                <w:szCs w:val="19"/>
              </w:rPr>
              <w:t xml:space="preserve">IaC</w:t>
            </w:r>
          </w:p>
        </w:tc>
        <w:tc>
          <w:tcPr>
            <w:tcW w:type="dxa" w:w="3900"/>
            <w:shd w:fill="F2ECDF" w:val="clear"/>
            <w:tcMar>
              <w:top w:type="dxa" w:w="80"/>
              <w:left w:type="dxa" w:w="100"/>
              <w:bottom w:type="dxa" w:w="80"/>
              <w:right w:type="dxa" w:w="100"/>
            </w:tcMar>
            <w:vAlign w:val="center"/>
          </w:tcPr>
          <w:p>
            <w:r>
              <w:rPr>
                <w:b w:val="false"/>
                <w:bCs w:val="false"/>
                <w:color w:val="222222"/>
                <w:sz w:val="19"/>
                <w:szCs w:val="19"/>
              </w:rPr>
              <w:t xml:space="preserve">Terraform for core infrastructure, AWS SAM or CloudFormation for any serverless pieces (e.g. Lambda-based content-ingestion triggers)</w:t>
            </w:r>
          </w:p>
        </w:tc>
        <w:tc>
          <w:tcPr>
            <w:tcW w:type="dxa" w:w="3100"/>
            <w:shd w:fill="F2ECDF" w:val="clear"/>
            <w:tcMar>
              <w:top w:type="dxa" w:w="80"/>
              <w:left w:type="dxa" w:w="100"/>
              <w:bottom w:type="dxa" w:w="80"/>
              <w:right w:type="dxa" w:w="100"/>
            </w:tcMar>
            <w:vAlign w:val="center"/>
          </w:tcPr>
          <w:p>
            <w:r>
              <w:rPr>
                <w:b w:val="false"/>
                <w:bCs w:val="false"/>
                <w:color w:val="222222"/>
                <w:sz w:val="19"/>
                <w:szCs w:val="19"/>
              </w:rPr>
              <w:t xml:space="preserve">Both already part of the team's toolkit; no new tooling to learn</w:t>
            </w:r>
          </w:p>
        </w:tc>
      </w:tr>
      <w:tr>
        <w:tc>
          <w:tcPr>
            <w:tcW w:type="dxa" w:w="1600"/>
            <w:tcMar>
              <w:top w:type="dxa" w:w="80"/>
              <w:left w:type="dxa" w:w="100"/>
              <w:bottom w:type="dxa" w:w="80"/>
              <w:right w:type="dxa" w:w="100"/>
            </w:tcMar>
            <w:vAlign w:val="center"/>
          </w:tcPr>
          <w:p>
            <w:r>
              <w:rPr>
                <w:b w:val="false"/>
                <w:bCs w:val="false"/>
                <w:color w:val="222222"/>
                <w:sz w:val="19"/>
                <w:szCs w:val="19"/>
              </w:rPr>
              <w:t xml:space="preserve">Messaging</w:t>
            </w:r>
          </w:p>
        </w:tc>
        <w:tc>
          <w:tcPr>
            <w:tcW w:type="dxa" w:w="3900"/>
            <w:tcMar>
              <w:top w:type="dxa" w:w="80"/>
              <w:left w:type="dxa" w:w="100"/>
              <w:bottom w:type="dxa" w:w="80"/>
              <w:right w:type="dxa" w:w="100"/>
            </w:tcMar>
            <w:vAlign w:val="center"/>
          </w:tcPr>
          <w:p>
            <w:r>
              <w:rPr>
                <w:b w:val="false"/>
                <w:bCs w:val="false"/>
                <w:color w:val="222222"/>
                <w:sz w:val="19"/>
                <w:szCs w:val="19"/>
              </w:rPr>
              <w:t xml:space="preserve">Kafka (MSK or self-hosted) for CDC (Section 5.3), content-publish events, and any future ingestion pipelines</w:t>
            </w:r>
          </w:p>
        </w:tc>
        <w:tc>
          <w:tcPr>
            <w:tcW w:type="dxa" w:w="3100"/>
            <w:tcMar>
              <w:top w:type="dxa" w:w="80"/>
              <w:left w:type="dxa" w:w="100"/>
              <w:bottom w:type="dxa" w:w="80"/>
              <w:right w:type="dxa" w:w="100"/>
            </w:tcMar>
            <w:vAlign w:val="center"/>
          </w:tcPr>
          <w:p>
            <w:r>
              <w:rPr>
                <w:b w:val="false"/>
                <w:bCs w:val="false"/>
                <w:color w:val="222222"/>
                <w:sz w:val="19"/>
                <w:szCs w:val="19"/>
              </w:rPr>
              <w:t xml:space="preserve">Direct reuse of existing Kafka/Kafka Streams experience</w:t>
            </w:r>
          </w:p>
        </w:tc>
      </w:tr>
      <w:tr>
        <w:tc>
          <w:tcPr>
            <w:tcW w:type="dxa" w:w="1600"/>
            <w:shd w:fill="F2ECDF" w:val="clear"/>
            <w:tcMar>
              <w:top w:type="dxa" w:w="80"/>
              <w:left w:type="dxa" w:w="100"/>
              <w:bottom w:type="dxa" w:w="80"/>
              <w:right w:type="dxa" w:w="100"/>
            </w:tcMar>
            <w:vAlign w:val="center"/>
          </w:tcPr>
          <w:p>
            <w:r>
              <w:rPr>
                <w:b w:val="false"/>
                <w:bCs w:val="false"/>
                <w:color w:val="222222"/>
                <w:sz w:val="19"/>
                <w:szCs w:val="19"/>
              </w:rPr>
              <w:t xml:space="preserve">CI/CD</w:t>
            </w:r>
          </w:p>
        </w:tc>
        <w:tc>
          <w:tcPr>
            <w:tcW w:type="dxa" w:w="3900"/>
            <w:shd w:fill="F2ECDF" w:val="clear"/>
            <w:tcMar>
              <w:top w:type="dxa" w:w="80"/>
              <w:left w:type="dxa" w:w="100"/>
              <w:bottom w:type="dxa" w:w="80"/>
              <w:right w:type="dxa" w:w="100"/>
            </w:tcMar>
            <w:vAlign w:val="center"/>
          </w:tcPr>
          <w:p>
            <w:r>
              <w:rPr>
                <w:b w:val="false"/>
                <w:bCs w:val="false"/>
                <w:color w:val="222222"/>
                <w:sz w:val="19"/>
                <w:szCs w:val="19"/>
              </w:rPr>
              <w:t xml:space="preserve">GitLab CI/CD for build/test, ArgoCD + Kubernetes (EKS) once the team/deploy cadence outgrows plain ECS, Docker throughout</w:t>
            </w:r>
          </w:p>
        </w:tc>
        <w:tc>
          <w:tcPr>
            <w:tcW w:type="dxa" w:w="3100"/>
            <w:shd w:fill="F2ECDF" w:val="clear"/>
            <w:tcMar>
              <w:top w:type="dxa" w:w="80"/>
              <w:left w:type="dxa" w:w="100"/>
              <w:bottom w:type="dxa" w:w="80"/>
              <w:right w:type="dxa" w:w="100"/>
            </w:tcMar>
            <w:vAlign w:val="center"/>
          </w:tcPr>
          <w:p>
            <w:r>
              <w:rPr>
                <w:b w:val="false"/>
                <w:bCs w:val="false"/>
                <w:color w:val="222222"/>
                <w:sz w:val="19"/>
                <w:szCs w:val="19"/>
              </w:rPr>
              <w:t xml:space="preserve">Matches an existing CI/CD toolchain (GitLab CI, ArgoCD, Docker, Kubernetes) rather than introducing a new deploy target</w:t>
            </w:r>
          </w:p>
        </w:tc>
      </w:tr>
      <w:tr>
        <w:tc>
          <w:tcPr>
            <w:tcW w:type="dxa" w:w="1600"/>
            <w:tcMar>
              <w:top w:type="dxa" w:w="80"/>
              <w:left w:type="dxa" w:w="100"/>
              <w:bottom w:type="dxa" w:w="80"/>
              <w:right w:type="dxa" w:w="100"/>
            </w:tcMar>
            <w:vAlign w:val="center"/>
          </w:tcPr>
          <w:p>
            <w:r>
              <w:rPr>
                <w:b w:val="false"/>
                <w:bCs w:val="false"/>
                <w:color w:val="222222"/>
                <w:sz w:val="19"/>
                <w:szCs w:val="19"/>
              </w:rPr>
              <w:t xml:space="preserve">Auth (Phase 2+)</w:t>
            </w:r>
          </w:p>
        </w:tc>
        <w:tc>
          <w:tcPr>
            <w:tcW w:type="dxa" w:w="3900"/>
            <w:tcMar>
              <w:top w:type="dxa" w:w="80"/>
              <w:left w:type="dxa" w:w="100"/>
              <w:bottom w:type="dxa" w:w="80"/>
              <w:right w:type="dxa" w:w="100"/>
            </w:tcMar>
            <w:vAlign w:val="center"/>
          </w:tcPr>
          <w:p>
            <w:r>
              <w:rPr>
                <w:b w:val="false"/>
                <w:bCs w:val="false"/>
                <w:color w:val="222222"/>
                <w:sz w:val="19"/>
                <w:szCs w:val="19"/>
              </w:rPr>
              <w:t xml:space="preserve">Keycloak, self-hosted on ECS or AWS-managed</w:t>
            </w:r>
          </w:p>
        </w:tc>
        <w:tc>
          <w:tcPr>
            <w:tcW w:type="dxa" w:w="3100"/>
            <w:tcMar>
              <w:top w:type="dxa" w:w="80"/>
              <w:left w:type="dxa" w:w="100"/>
              <w:bottom w:type="dxa" w:w="80"/>
              <w:right w:type="dxa" w:w="100"/>
            </w:tcMar>
            <w:vAlign w:val="center"/>
          </w:tcPr>
          <w:p>
            <w:r>
              <w:rPr>
                <w:b w:val="false"/>
                <w:bCs w:val="false"/>
                <w:color w:val="222222"/>
                <w:sz w:val="19"/>
                <w:szCs w:val="19"/>
              </w:rPr>
              <w:t xml:space="preserve">Already familiar at large-scale production deployments; no reason to switch to a hosted third-party auth vendor given that existing depth</w:t>
            </w:r>
          </w:p>
        </w:tc>
      </w:tr>
      <w:tr>
        <w:tc>
          <w:tcPr>
            <w:tcW w:type="dxa" w:w="1600"/>
            <w:shd w:fill="F2ECDF" w:val="clear"/>
            <w:tcMar>
              <w:top w:type="dxa" w:w="80"/>
              <w:left w:type="dxa" w:w="100"/>
              <w:bottom w:type="dxa" w:w="80"/>
              <w:right w:type="dxa" w:w="100"/>
            </w:tcMar>
            <w:vAlign w:val="center"/>
          </w:tcPr>
          <w:p>
            <w:r>
              <w:rPr>
                <w:b w:val="false"/>
                <w:bCs w:val="false"/>
                <w:color w:val="222222"/>
                <w:sz w:val="19"/>
                <w:szCs w:val="19"/>
              </w:rPr>
              <w:t xml:space="preserve">Monitoring</w:t>
            </w:r>
          </w:p>
        </w:tc>
        <w:tc>
          <w:tcPr>
            <w:tcW w:type="dxa" w:w="3900"/>
            <w:shd w:fill="F2ECDF" w:val="clear"/>
            <w:tcMar>
              <w:top w:type="dxa" w:w="80"/>
              <w:left w:type="dxa" w:w="100"/>
              <w:bottom w:type="dxa" w:w="80"/>
              <w:right w:type="dxa" w:w="100"/>
            </w:tcMar>
            <w:vAlign w:val="center"/>
          </w:tcPr>
          <w:p>
            <w:r>
              <w:rPr>
                <w:b w:val="false"/>
                <w:bCs w:val="false"/>
                <w:color w:val="222222"/>
                <w:sz w:val="19"/>
                <w:szCs w:val="19"/>
              </w:rPr>
              <w:t xml:space="preserve">Prometheus + Grafana for metrics/dashboards, ELK (Elasticsearch/Logstash/Kibana) for logs — the same ELK cluster doubles as the Section 5.3 search engine once introduced</w:t>
            </w:r>
          </w:p>
        </w:tc>
        <w:tc>
          <w:tcPr>
            <w:tcW w:type="dxa" w:w="3100"/>
            <w:shd w:fill="F2ECDF" w:val="clear"/>
            <w:tcMar>
              <w:top w:type="dxa" w:w="80"/>
              <w:left w:type="dxa" w:w="100"/>
              <w:bottom w:type="dxa" w:w="80"/>
              <w:right w:type="dxa" w:w="100"/>
            </w:tcMar>
            <w:vAlign w:val="center"/>
          </w:tcPr>
          <w:p>
            <w:r>
              <w:rPr>
                <w:b w:val="false"/>
                <w:bCs w:val="false"/>
                <w:color w:val="222222"/>
                <w:sz w:val="19"/>
                <w:szCs w:val="19"/>
              </w:rPr>
              <w:t xml:space="preserve">Direct reuse of an existing observability stack; one less new tool, and search infrastructure gets reused for two purposes</w:t>
            </w:r>
          </w:p>
        </w:tc>
      </w:tr>
    </w:tbl>
    <w:p>
      <w:pPr>
        <w:pStyle w:val="Heading1"/>
        <w:pageBreakBefore/>
        <w:spacing w:after="160" w:before="200"/>
      </w:pPr>
      <w:r>
        <w:t xml:space="preserve">9. AI Features</w:t>
      </w:r>
    </w:p>
    <w:p>
      <w:pPr>
        <w:spacing w:after="140" w:line="300"/>
      </w:pPr>
      <w:r>
        <w:rPr>
          <w:b w:val="false"/>
          <w:bCs w:val="false"/>
          <w:i w:val="false"/>
          <w:iCs w:val="false"/>
        </w:rPr>
        <w:t xml:space="preserve">AI is genuinely useful here, but the governing constraint is that this is religious educational content — every AI-generated answer must be grounded in the vetted corpus from Section 6, never in open generation, and must be clearly distinguishable from scholar-reviewed core content.</w:t>
      </w:r>
    </w:p>
    <w:p>
      <w:pPr>
        <w:spacing w:after="140" w:line="300"/>
      </w:pPr>
      <w:r>
        <w:rPr>
          <w:b w:val="false"/>
          <w:bCs w:val="false"/>
          <w:i w:val="false"/>
          <w:iCs w:val="false"/>
        </w:rPr>
        <w:t xml:space="preserve">Implementation, consistent with Section 8's stack: use Spring AI from the Spring Boot backend to call a hosted model via AWS Bedrock, rather than standing up a separate Python inference service. This keeps the AI layer inside the existing Java/AWS operational boundary (same IAM roles, same observability stack, same deployment pipeline) and avoids introducing Python only for this one feature; retrieval (the actual grounding mechanism) queries Elasticsearch and Neo4j (Section 5.3) for relevant events/verses/hadith, and only the final answer-composition step calls the model, with the retrieved sources passed in and echoed back as citations. If a specific capability later requires ML tooling Bedrock/Spring AI can't reach, isolate that as one small Python microservice rather than migrating the core.</w:t>
      </w:r>
    </w:p>
    <w:p>
      <w:pPr>
        <w:pStyle w:val="ListParagraph"/>
        <w:numPr>
          <w:ilvl w:val="0"/>
          <w:numId w:val="2"/>
        </w:numPr>
        <w:spacing w:after="70" w:line="280"/>
      </w:pPr>
      <w:r>
        <w:t xml:space="preserve">Natural-language search — “what happened right before the Hijrah” resolves to the correct event via semantic search over the vetted event/verse/hadith corpus, not general web knowledge.</w:t>
      </w:r>
    </w:p>
    <w:p>
      <w:pPr>
        <w:pStyle w:val="ListParagraph"/>
        <w:numPr>
          <w:ilvl w:val="0"/>
          <w:numId w:val="2"/>
        </w:numPr>
        <w:spacing w:after="70" w:line="280"/>
      </w:pPr>
      <w:r>
        <w:t xml:space="preserve">Ask-about-an-event — a scoped Q&amp;A feature (retrieval-augmented generation restricted to the platform's own cited database) that always surfaces its source citations alongside the answer and explicitly declines to answer anything outside the corpus (no fiqh rulings, no aqeedah positions, no speculation).</w:t>
      </w:r>
    </w:p>
    <w:p>
      <w:pPr>
        <w:pStyle w:val="ListParagraph"/>
        <w:numPr>
          <w:ilvl w:val="0"/>
          <w:numId w:val="2"/>
        </w:numPr>
        <w:spacing w:after="70" w:line="280"/>
      </w:pPr>
      <w:r>
        <w:t xml:space="preserve">Timeline summarization — “summarize the Meccan period in 5 points,” generated from the underlying structured event data rather than free text, so it inherits the same citations.</w:t>
      </w:r>
    </w:p>
    <w:p>
      <w:pPr>
        <w:pStyle w:val="ListParagraph"/>
        <w:numPr>
          <w:ilvl w:val="0"/>
          <w:numId w:val="2"/>
        </w:numPr>
        <w:spacing w:after="70" w:line="280"/>
      </w:pPr>
      <w:r>
        <w:t xml:space="preserve">Relationship discovery — surfacing “events related to Badr you may not have explored yet” using the graph layer (Section 5.3), which is really a recommendation feature more than a generative-AI one.</w:t>
      </w:r>
    </w:p>
    <w:p>
      <w:pPr>
        <w:pStyle w:val="ListParagraph"/>
        <w:numPr>
          <w:ilvl w:val="0"/>
          <w:numId w:val="2"/>
        </w:numPr>
        <w:spacing w:after="70" w:line="280"/>
      </w:pPr>
      <w:r>
        <w:t xml:space="preserve">Personalized learning paths (Phase 2+) — sequencing events based on what a user has already explored, again operating over structured data rather than generating new content.</w:t>
      </w:r>
    </w:p>
    <w:p>
      <w:pPr>
        <w:pStyle w:val="Heading2"/>
        <w:spacing w:after="120" w:before="260"/>
      </w:pPr>
      <w:r>
        <w:t xml:space="preserve">9.1 Guardrails</w:t>
      </w:r>
    </w:p>
    <w:p>
      <w:pPr>
        <w:pStyle w:val="ListParagraph"/>
        <w:numPr>
          <w:ilvl w:val="0"/>
          <w:numId w:val="2"/>
        </w:numPr>
        <w:spacing w:after="70" w:line="280"/>
      </w:pPr>
      <w:r>
        <w:t xml:space="preserve">AI never generates new historical claims — it retrieves, summarizes, and cites from the reviewed database only.</w:t>
      </w:r>
    </w:p>
    <w:p>
      <w:pPr>
        <w:pStyle w:val="ListParagraph"/>
        <w:numPr>
          <w:ilvl w:val="0"/>
          <w:numId w:val="2"/>
        </w:numPr>
        <w:spacing w:after="70" w:line="280"/>
      </w:pPr>
      <w:r>
        <w:t xml:space="preserve">AI never issues rulings (fiqh) or theological (aqeedah) positions, even if asked directly; it redirects to qualified human scholarship.</w:t>
      </w:r>
    </w:p>
    <w:p>
      <w:pPr>
        <w:pStyle w:val="ListParagraph"/>
        <w:numPr>
          <w:ilvl w:val="0"/>
          <w:numId w:val="2"/>
        </w:numPr>
        <w:spacing w:after="70" w:line="280"/>
      </w:pPr>
      <w:r>
        <w:t xml:space="preserve">Every AI-surfaced answer is visibly labeled with its sources; a clear visual distinction exists between “scholar-reviewed core content” and “AI-assisted retrieval,” so users always know which they're looking at.</w:t>
      </w:r>
    </w:p>
    <w:p>
      <w:pPr>
        <w:pStyle w:val="ListParagraph"/>
        <w:numPr>
          <w:ilvl w:val="0"/>
          <w:numId w:val="2"/>
        </w:numPr>
        <w:spacing w:after="70" w:line="280"/>
      </w:pPr>
      <w:r>
        <w:t xml:space="preserve">The Scholarly Advisory Board reviews the AI's answer templates and a sample of real outputs before and after launch, not just the underlying data.</w:t>
      </w:r>
    </w:p>
    <w:p>
      <w:pPr>
        <w:pStyle w:val="Heading1"/>
        <w:pageBreakBefore/>
        <w:spacing w:after="160" w:before="200"/>
      </w:pPr>
      <w:r>
        <w:t xml:space="preserve">10. Cost Estimate</w:t>
      </w:r>
    </w:p>
    <w:p>
      <w:pPr>
        <w:spacing w:after="140" w:line="300"/>
      </w:pPr>
      <w:r>
        <w:rPr>
          <w:b w:val="false"/>
          <w:bCs w:val="false"/>
          <w:i w:val="false"/>
          <w:iCs w:val="false"/>
        </w:rPr>
        <w:t xml:space="preserve">Figures are planning-level estimates in USD for a lean founding team; treat as order-of-magnitude, not a quote. Two views: one-time MVP build cost, and ongoing monthly run-rate once live.</w:t>
      </w:r>
    </w:p>
    <w:p>
      <w:pPr>
        <w:pStyle w:val="Heading2"/>
        <w:spacing w:after="120" w:before="260"/>
      </w:pPr>
      <w:r>
        <w:t xml:space="preserve">10.1 MVP Build (approx. 6 months)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4000"/>
      </w:tblGrid>
      <w:tr>
        <w:trPr>
          <w:tblHeader/>
        </w:trPr>
        <w:tc>
          <w:tcPr>
            <w:tcW w:type="dxa" w:w="3400"/>
            <w:shd w:fill="1f3b57" w:val="clear"/>
            <w:tcMar>
              <w:top w:type="dxa" w:w="80"/>
              <w:left w:type="dxa" w:w="100"/>
              <w:bottom w:type="dxa" w:w="80"/>
              <w:right w:type="dxa" w:w="100"/>
            </w:tcMar>
            <w:vAlign w:val="center"/>
          </w:tcPr>
          <w:p>
            <w:r>
              <w:rPr>
                <w:b/>
                <w:bCs/>
                <w:color w:val="FFFFFF"/>
                <w:sz w:val="19"/>
                <w:szCs w:val="19"/>
              </w:rPr>
              <w:t xml:space="preserve">Line item</w:t>
            </w:r>
          </w:p>
        </w:tc>
        <w:tc>
          <w:tcPr>
            <w:tcW w:type="dxa" w:w="2400"/>
            <w:shd w:fill="1f3b57" w:val="clear"/>
            <w:tcMar>
              <w:top w:type="dxa" w:w="80"/>
              <w:left w:type="dxa" w:w="100"/>
              <w:bottom w:type="dxa" w:w="80"/>
              <w:right w:type="dxa" w:w="100"/>
            </w:tcMar>
            <w:vAlign w:val="center"/>
          </w:tcPr>
          <w:p>
            <w:r>
              <w:rPr>
                <w:b/>
                <w:bCs/>
                <w:color w:val="FFFFFF"/>
                <w:sz w:val="19"/>
                <w:szCs w:val="19"/>
              </w:rPr>
              <w:t xml:space="preserve">Estimate</w:t>
            </w:r>
          </w:p>
        </w:tc>
        <w:tc>
          <w:tcPr>
            <w:tcW w:type="dxa" w:w="4000"/>
            <w:shd w:fill="1f3b57" w:val="clear"/>
            <w:tcMar>
              <w:top w:type="dxa" w:w="80"/>
              <w:left w:type="dxa" w:w="100"/>
              <w:bottom w:type="dxa" w:w="80"/>
              <w:right w:type="dxa" w:w="100"/>
            </w:tcMar>
            <w:vAlign w:val="center"/>
          </w:tcPr>
          <w:p>
            <w:r>
              <w:rPr>
                <w:b/>
                <w:bCs/>
                <w:color w:val="FFFFFF"/>
                <w:sz w:val="19"/>
                <w:szCs w:val="19"/>
              </w:rPr>
              <w:t xml:space="preserve">Notes</w:t>
            </w:r>
          </w:p>
        </w:tc>
      </w:tr>
      <w:tr>
        <w:tc>
          <w:tcPr>
            <w:tcW w:type="dxa" w:w="3400"/>
            <w:tcMar>
              <w:top w:type="dxa" w:w="80"/>
              <w:left w:type="dxa" w:w="100"/>
              <w:bottom w:type="dxa" w:w="80"/>
              <w:right w:type="dxa" w:w="100"/>
            </w:tcMar>
            <w:vAlign w:val="center"/>
          </w:tcPr>
          <w:p>
            <w:r>
              <w:rPr>
                <w:b w:val="false"/>
                <w:bCs w:val="false"/>
                <w:color w:val="222222"/>
                <w:sz w:val="19"/>
                <w:szCs w:val="19"/>
              </w:rPr>
              <w:t xml:space="preserve">Product/founder time</w:t>
            </w:r>
          </w:p>
        </w:tc>
        <w:tc>
          <w:tcPr>
            <w:tcW w:type="dxa" w:w="2400"/>
            <w:tcMar>
              <w:top w:type="dxa" w:w="80"/>
              <w:left w:type="dxa" w:w="100"/>
              <w:bottom w:type="dxa" w:w="80"/>
              <w:right w:type="dxa" w:w="100"/>
            </w:tcMar>
            <w:vAlign w:val="center"/>
          </w:tcPr>
          <w:p>
            <w:r>
              <w:rPr>
                <w:b w:val="false"/>
                <w:bCs w:val="false"/>
                <w:color w:val="222222"/>
                <w:sz w:val="19"/>
                <w:szCs w:val="19"/>
              </w:rPr>
              <w:t xml:space="preserve">In-kind or deferred</w:t>
            </w:r>
          </w:p>
        </w:tc>
        <w:tc>
          <w:tcPr>
            <w:tcW w:type="dxa" w:w="4000"/>
            <w:tcMar>
              <w:top w:type="dxa" w:w="80"/>
              <w:left w:type="dxa" w:w="100"/>
              <w:bottom w:type="dxa" w:w="80"/>
              <w:right w:type="dxa" w:w="100"/>
            </w:tcMar>
            <w:vAlign w:val="center"/>
          </w:tcPr>
          <w:p>
            <w:r>
              <w:rPr>
                <w:b w:val="false"/>
                <w:bCs w:val="false"/>
                <w:color w:val="222222"/>
                <w:sz w:val="19"/>
                <w:szCs w:val="19"/>
              </w:rPr>
              <w:t xml:space="preserve">Assumes a founder-led PM/design role</w:t>
            </w:r>
          </w:p>
        </w:tc>
      </w:tr>
      <w:tr>
        <w:tc>
          <w:tcPr>
            <w:tcW w:type="dxa" w:w="3400"/>
            <w:shd w:fill="F2ECDF" w:val="clear"/>
            <w:tcMar>
              <w:top w:type="dxa" w:w="80"/>
              <w:left w:type="dxa" w:w="100"/>
              <w:bottom w:type="dxa" w:w="80"/>
              <w:right w:type="dxa" w:w="100"/>
            </w:tcMar>
            <w:vAlign w:val="center"/>
          </w:tcPr>
          <w:p>
            <w:r>
              <w:rPr>
                <w:b w:val="false"/>
                <w:bCs w:val="false"/>
                <w:color w:val="222222"/>
                <w:sz w:val="19"/>
                <w:szCs w:val="19"/>
              </w:rPr>
              <w:t xml:space="preserve">1–2 full-stack engineers (contract or early hire)</w:t>
            </w:r>
          </w:p>
        </w:tc>
        <w:tc>
          <w:tcPr>
            <w:tcW w:type="dxa" w:w="2400"/>
            <w:shd w:fill="F2ECDF" w:val="clear"/>
            <w:tcMar>
              <w:top w:type="dxa" w:w="80"/>
              <w:left w:type="dxa" w:w="100"/>
              <w:bottom w:type="dxa" w:w="80"/>
              <w:right w:type="dxa" w:w="100"/>
            </w:tcMar>
            <w:vAlign w:val="center"/>
          </w:tcPr>
          <w:p>
            <w:r>
              <w:rPr>
                <w:b w:val="false"/>
                <w:bCs w:val="false"/>
                <w:color w:val="222222"/>
                <w:sz w:val="19"/>
                <w:szCs w:val="19"/>
              </w:rPr>
              <w:t xml:space="preserve">$60,000 – $130,000</w:t>
            </w:r>
          </w:p>
        </w:tc>
        <w:tc>
          <w:tcPr>
            <w:tcW w:type="dxa" w:w="4000"/>
            <w:shd w:fill="F2ECDF" w:val="clear"/>
            <w:tcMar>
              <w:top w:type="dxa" w:w="80"/>
              <w:left w:type="dxa" w:w="100"/>
              <w:bottom w:type="dxa" w:w="80"/>
              <w:right w:type="dxa" w:w="100"/>
            </w:tcMar>
            <w:vAlign w:val="center"/>
          </w:tcPr>
          <w:p>
            <w:r>
              <w:rPr>
                <w:b w:val="false"/>
                <w:bCs w:val="false"/>
                <w:color w:val="222222"/>
                <w:sz w:val="19"/>
                <w:szCs w:val="19"/>
              </w:rPr>
              <w:t xml:space="preserve">Range reflects contract vs. full-time-equivalent hire, 6-month build</w:t>
            </w:r>
          </w:p>
        </w:tc>
      </w:tr>
      <w:tr>
        <w:tc>
          <w:tcPr>
            <w:tcW w:type="dxa" w:w="3400"/>
            <w:tcMar>
              <w:top w:type="dxa" w:w="80"/>
              <w:left w:type="dxa" w:w="100"/>
              <w:bottom w:type="dxa" w:w="80"/>
              <w:right w:type="dxa" w:w="100"/>
            </w:tcMar>
            <w:vAlign w:val="center"/>
          </w:tcPr>
          <w:p>
            <w:r>
              <w:rPr>
                <w:b w:val="false"/>
                <w:bCs w:val="false"/>
                <w:color w:val="222222"/>
                <w:sz w:val="19"/>
                <w:szCs w:val="19"/>
              </w:rPr>
              <w:t xml:space="preserve">1 designer (UX/UI + visual style system)</w:t>
            </w:r>
          </w:p>
        </w:tc>
        <w:tc>
          <w:tcPr>
            <w:tcW w:type="dxa" w:w="2400"/>
            <w:tcMar>
              <w:top w:type="dxa" w:w="80"/>
              <w:left w:type="dxa" w:w="100"/>
              <w:bottom w:type="dxa" w:w="80"/>
              <w:right w:type="dxa" w:w="100"/>
            </w:tcMar>
            <w:vAlign w:val="center"/>
          </w:tcPr>
          <w:p>
            <w:r>
              <w:rPr>
                <w:b w:val="false"/>
                <w:bCs w:val="false"/>
                <w:color w:val="222222"/>
                <w:sz w:val="19"/>
                <w:szCs w:val="19"/>
              </w:rPr>
              <w:t xml:space="preserve">$20,000 – $40,000</w:t>
            </w:r>
          </w:p>
        </w:tc>
        <w:tc>
          <w:tcPr>
            <w:tcW w:type="dxa" w:w="4000"/>
            <w:tcMar>
              <w:top w:type="dxa" w:w="80"/>
              <w:left w:type="dxa" w:w="100"/>
              <w:bottom w:type="dxa" w:w="80"/>
              <w:right w:type="dxa" w:w="100"/>
            </w:tcMar>
            <w:vAlign w:val="center"/>
          </w:tcPr>
          <w:p>
            <w:r>
              <w:rPr>
                <w:b w:val="false"/>
                <w:bCs w:val="false"/>
                <w:color w:val="222222"/>
                <w:sz w:val="19"/>
                <w:szCs w:val="19"/>
              </w:rPr>
              <w:t xml:space="preserve">Part-time/contract sufficient for MVP scope</w:t>
            </w:r>
          </w:p>
        </w:tc>
      </w:tr>
      <w:tr>
        <w:tc>
          <w:tcPr>
            <w:tcW w:type="dxa" w:w="3400"/>
            <w:shd w:fill="F2ECDF" w:val="clear"/>
            <w:tcMar>
              <w:top w:type="dxa" w:w="80"/>
              <w:left w:type="dxa" w:w="100"/>
              <w:bottom w:type="dxa" w:w="80"/>
              <w:right w:type="dxa" w:w="100"/>
            </w:tcMar>
            <w:vAlign w:val="center"/>
          </w:tcPr>
          <w:p>
            <w:r>
              <w:rPr>
                <w:b w:val="false"/>
                <w:bCs w:val="false"/>
                <w:color w:val="222222"/>
                <w:sz w:val="19"/>
                <w:szCs w:val="19"/>
              </w:rPr>
              <w:t xml:space="preserve">Islamic Research Lead</w:t>
            </w:r>
          </w:p>
        </w:tc>
        <w:tc>
          <w:tcPr>
            <w:tcW w:type="dxa" w:w="2400"/>
            <w:shd w:fill="F2ECDF" w:val="clear"/>
            <w:tcMar>
              <w:top w:type="dxa" w:w="80"/>
              <w:left w:type="dxa" w:w="100"/>
              <w:bottom w:type="dxa" w:w="80"/>
              <w:right w:type="dxa" w:w="100"/>
            </w:tcMar>
            <w:vAlign w:val="center"/>
          </w:tcPr>
          <w:p>
            <w:r>
              <w:rPr>
                <w:b w:val="false"/>
                <w:bCs w:val="false"/>
                <w:color w:val="222222"/>
                <w:sz w:val="19"/>
                <w:szCs w:val="19"/>
              </w:rPr>
              <w:t xml:space="preserve">$18,000 – $30,000</w:t>
            </w:r>
          </w:p>
        </w:tc>
        <w:tc>
          <w:tcPr>
            <w:tcW w:type="dxa" w:w="4000"/>
            <w:shd w:fill="F2ECDF" w:val="clear"/>
            <w:tcMar>
              <w:top w:type="dxa" w:w="80"/>
              <w:left w:type="dxa" w:w="100"/>
              <w:bottom w:type="dxa" w:w="80"/>
              <w:right w:type="dxa" w:w="100"/>
            </w:tcMar>
            <w:vAlign w:val="center"/>
          </w:tcPr>
          <w:p>
            <w:r>
              <w:rPr>
                <w:b w:val="false"/>
                <w:bCs w:val="false"/>
                <w:color w:val="222222"/>
                <w:sz w:val="19"/>
                <w:szCs w:val="19"/>
              </w:rPr>
              <w:t xml:space="preserve">6 months, part- or full-time; this role's output gates everything else</w:t>
            </w:r>
          </w:p>
        </w:tc>
      </w:tr>
      <w:tr>
        <w:tc>
          <w:tcPr>
            <w:tcW w:type="dxa" w:w="3400"/>
            <w:tcMar>
              <w:top w:type="dxa" w:w="80"/>
              <w:left w:type="dxa" w:w="100"/>
              <w:bottom w:type="dxa" w:w="80"/>
              <w:right w:type="dxa" w:w="100"/>
            </w:tcMar>
            <w:vAlign w:val="center"/>
          </w:tcPr>
          <w:p>
            <w:r>
              <w:rPr>
                <w:b w:val="false"/>
                <w:bCs w:val="false"/>
                <w:color w:val="222222"/>
                <w:sz w:val="19"/>
                <w:szCs w:val="19"/>
              </w:rPr>
              <w:t xml:space="preserve">Scholarly Advisory Board honoraria</w:t>
            </w:r>
          </w:p>
        </w:tc>
        <w:tc>
          <w:tcPr>
            <w:tcW w:type="dxa" w:w="2400"/>
            <w:tcMar>
              <w:top w:type="dxa" w:w="80"/>
              <w:left w:type="dxa" w:w="100"/>
              <w:bottom w:type="dxa" w:w="80"/>
              <w:right w:type="dxa" w:w="100"/>
            </w:tcMar>
            <w:vAlign w:val="center"/>
          </w:tcPr>
          <w:p>
            <w:r>
              <w:rPr>
                <w:b w:val="false"/>
                <w:bCs w:val="false"/>
                <w:color w:val="222222"/>
                <w:sz w:val="19"/>
                <w:szCs w:val="19"/>
              </w:rPr>
              <w:t xml:space="preserve">$5,000 – $15,000</w:t>
            </w:r>
          </w:p>
        </w:tc>
        <w:tc>
          <w:tcPr>
            <w:tcW w:type="dxa" w:w="4000"/>
            <w:tcMar>
              <w:top w:type="dxa" w:w="80"/>
              <w:left w:type="dxa" w:w="100"/>
              <w:bottom w:type="dxa" w:w="80"/>
              <w:right w:type="dxa" w:w="100"/>
            </w:tcMar>
            <w:vAlign w:val="center"/>
          </w:tcPr>
          <w:p>
            <w:r>
              <w:rPr>
                <w:b w:val="false"/>
                <w:bCs w:val="false"/>
                <w:color w:val="222222"/>
                <w:sz w:val="19"/>
                <w:szCs w:val="19"/>
              </w:rPr>
              <w:t xml:space="preserve">Stipends for 2–4 reviewers across the build period</w:t>
            </w:r>
          </w:p>
        </w:tc>
      </w:tr>
      <w:tr>
        <w:tc>
          <w:tcPr>
            <w:tcW w:type="dxa" w:w="3400"/>
            <w:shd w:fill="F2ECDF" w:val="clear"/>
            <w:tcMar>
              <w:top w:type="dxa" w:w="80"/>
              <w:left w:type="dxa" w:w="100"/>
              <w:bottom w:type="dxa" w:w="80"/>
              <w:right w:type="dxa" w:w="100"/>
            </w:tcMar>
            <w:vAlign w:val="center"/>
          </w:tcPr>
          <w:p>
            <w:r>
              <w:rPr>
                <w:b w:val="false"/>
                <w:bCs w:val="false"/>
                <w:color w:val="222222"/>
                <w:sz w:val="19"/>
                <w:szCs w:val="19"/>
              </w:rPr>
              <w:t xml:space="preserve">Infrastructure (build phase)</w:t>
            </w:r>
          </w:p>
        </w:tc>
        <w:tc>
          <w:tcPr>
            <w:tcW w:type="dxa" w:w="2400"/>
            <w:shd w:fill="F2ECDF" w:val="clear"/>
            <w:tcMar>
              <w:top w:type="dxa" w:w="80"/>
              <w:left w:type="dxa" w:w="100"/>
              <w:bottom w:type="dxa" w:w="80"/>
              <w:right w:type="dxa" w:w="100"/>
            </w:tcMar>
            <w:vAlign w:val="center"/>
          </w:tcPr>
          <w:p>
            <w:r>
              <w:rPr>
                <w:b w:val="false"/>
                <w:bCs w:val="false"/>
                <w:color w:val="222222"/>
                <w:sz w:val="19"/>
                <w:szCs w:val="19"/>
              </w:rPr>
              <w:t xml:space="preserve">$1,500 – $3,000</w:t>
            </w:r>
          </w:p>
        </w:tc>
        <w:tc>
          <w:tcPr>
            <w:tcW w:type="dxa" w:w="4000"/>
            <w:shd w:fill="F2ECDF" w:val="clear"/>
            <w:tcMar>
              <w:top w:type="dxa" w:w="80"/>
              <w:left w:type="dxa" w:w="100"/>
              <w:bottom w:type="dxa" w:w="80"/>
              <w:right w:type="dxa" w:w="100"/>
            </w:tcMar>
            <w:vAlign w:val="center"/>
          </w:tcPr>
          <w:p>
            <w:r>
              <w:rPr>
                <w:b w:val="false"/>
                <w:bCs w:val="false"/>
                <w:color w:val="222222"/>
                <w:sz w:val="19"/>
                <w:szCs w:val="19"/>
              </w:rPr>
              <w:t xml:space="preserve">AWS (ECS Fargate, RDS, S3/CloudFront) at low-traffic development tiers</w:t>
            </w:r>
          </w:p>
        </w:tc>
      </w:tr>
      <w:tr>
        <w:tc>
          <w:tcPr>
            <w:tcW w:type="dxa" w:w="3400"/>
            <w:tcMar>
              <w:top w:type="dxa" w:w="80"/>
              <w:left w:type="dxa" w:w="100"/>
              <w:bottom w:type="dxa" w:w="80"/>
              <w:right w:type="dxa" w:w="100"/>
            </w:tcMar>
            <w:vAlign w:val="center"/>
          </w:tcPr>
          <w:p>
            <w:r>
              <w:rPr>
                <w:b w:val="false"/>
                <w:bCs w:val="false"/>
                <w:color w:val="222222"/>
                <w:sz w:val="19"/>
                <w:szCs w:val="19"/>
              </w:rPr>
              <w:t xml:space="preserve">Illustration / map assets</w:t>
            </w:r>
          </w:p>
        </w:tc>
        <w:tc>
          <w:tcPr>
            <w:tcW w:type="dxa" w:w="2400"/>
            <w:tcMar>
              <w:top w:type="dxa" w:w="80"/>
              <w:left w:type="dxa" w:w="100"/>
              <w:bottom w:type="dxa" w:w="80"/>
              <w:right w:type="dxa" w:w="100"/>
            </w:tcMar>
            <w:vAlign w:val="center"/>
          </w:tcPr>
          <w:p>
            <w:r>
              <w:rPr>
                <w:b w:val="false"/>
                <w:bCs w:val="false"/>
                <w:color w:val="222222"/>
                <w:sz w:val="19"/>
                <w:szCs w:val="19"/>
              </w:rPr>
              <w:t xml:space="preserve">$5,000 – $15,000</w:t>
            </w:r>
          </w:p>
        </w:tc>
        <w:tc>
          <w:tcPr>
            <w:tcW w:type="dxa" w:w="4000"/>
            <w:tcMar>
              <w:top w:type="dxa" w:w="80"/>
              <w:left w:type="dxa" w:w="100"/>
              <w:bottom w:type="dxa" w:w="80"/>
              <w:right w:type="dxa" w:w="100"/>
            </w:tcMar>
            <w:vAlign w:val="center"/>
          </w:tcPr>
          <w:p>
            <w:r>
              <w:rPr>
                <w:b w:val="false"/>
                <w:bCs w:val="false"/>
                <w:color w:val="222222"/>
                <w:sz w:val="19"/>
                <w:szCs w:val="19"/>
              </w:rPr>
              <w:t xml:space="preserve">Commissioned static maps and diagrams honoring the no-depiction guidelines (Section 15)</w:t>
            </w:r>
          </w:p>
        </w:tc>
      </w:tr>
      <w:tr>
        <w:tc>
          <w:tcPr>
            <w:tcW w:type="dxa" w:w="3400"/>
            <w:shd w:fill="F2ECDF" w:val="clear"/>
            <w:tcMar>
              <w:top w:type="dxa" w:w="80"/>
              <w:left w:type="dxa" w:w="100"/>
              <w:bottom w:type="dxa" w:w="80"/>
              <w:right w:type="dxa" w:w="100"/>
            </w:tcMar>
            <w:vAlign w:val="center"/>
          </w:tcPr>
          <w:p>
            <w:r>
              <w:rPr>
                <w:b w:val="false"/>
                <w:bCs w:val="false"/>
                <w:color w:val="222222"/>
                <w:sz w:val="19"/>
                <w:szCs w:val="19"/>
              </w:rPr>
              <w:t xml:space="preserve">Legal (licensing review, e.g. Darussalam/Lings clearance)</w:t>
            </w:r>
          </w:p>
        </w:tc>
        <w:tc>
          <w:tcPr>
            <w:tcW w:type="dxa" w:w="2400"/>
            <w:shd w:fill="F2ECDF" w:val="clear"/>
            <w:tcMar>
              <w:top w:type="dxa" w:w="80"/>
              <w:left w:type="dxa" w:w="100"/>
              <w:bottom w:type="dxa" w:w="80"/>
              <w:right w:type="dxa" w:w="100"/>
            </w:tcMar>
            <w:vAlign w:val="center"/>
          </w:tcPr>
          <w:p>
            <w:r>
              <w:rPr>
                <w:b w:val="false"/>
                <w:bCs w:val="false"/>
                <w:color w:val="222222"/>
                <w:sz w:val="19"/>
                <w:szCs w:val="19"/>
              </w:rPr>
              <w:t xml:space="preserve">$3,000 – $8,000</w:t>
            </w:r>
          </w:p>
        </w:tc>
        <w:tc>
          <w:tcPr>
            <w:tcW w:type="dxa" w:w="4000"/>
            <w:shd w:fill="F2ECDF" w:val="clear"/>
            <w:tcMar>
              <w:top w:type="dxa" w:w="80"/>
              <w:left w:type="dxa" w:w="100"/>
              <w:bottom w:type="dxa" w:w="80"/>
              <w:right w:type="dxa" w:w="100"/>
            </w:tcMar>
            <w:vAlign w:val="center"/>
          </w:tcPr>
          <w:p>
            <w:r>
              <w:rPr>
                <w:b w:val="false"/>
                <w:bCs w:val="false"/>
                <w:color w:val="222222"/>
                <w:sz w:val="19"/>
                <w:szCs w:val="19"/>
              </w:rPr>
              <w:t xml:space="preserve">One-time source-rights review, Section 6.3</w:t>
            </w:r>
          </w:p>
        </w:tc>
      </w:tr>
      <w:tr>
        <w:tc>
          <w:tcPr>
            <w:tcW w:type="dxa" w:w="3400"/>
            <w:tcMar>
              <w:top w:type="dxa" w:w="80"/>
              <w:left w:type="dxa" w:w="100"/>
              <w:bottom w:type="dxa" w:w="80"/>
              <w:right w:type="dxa" w:w="100"/>
            </w:tcMar>
            <w:vAlign w:val="center"/>
          </w:tcPr>
          <w:p>
            <w:r>
              <w:rPr>
                <w:b w:val="false"/>
                <w:bCs w:val="false"/>
                <w:color w:val="222222"/>
                <w:sz w:val="19"/>
                <w:szCs w:val="19"/>
              </w:rPr>
              <w:t xml:space="preserve">Total estimated MVP build</w:t>
            </w:r>
          </w:p>
        </w:tc>
        <w:tc>
          <w:tcPr>
            <w:tcW w:type="dxa" w:w="2400"/>
            <w:tcMar>
              <w:top w:type="dxa" w:w="80"/>
              <w:left w:type="dxa" w:w="100"/>
              <w:bottom w:type="dxa" w:w="80"/>
              <w:right w:type="dxa" w:w="100"/>
            </w:tcMar>
            <w:vAlign w:val="center"/>
          </w:tcPr>
          <w:p>
            <w:r>
              <w:rPr>
                <w:b w:val="false"/>
                <w:bCs w:val="false"/>
                <w:color w:val="222222"/>
                <w:sz w:val="19"/>
                <w:szCs w:val="19"/>
              </w:rPr>
              <w:t xml:space="preserve">$112,500 – $241,000</w:t>
            </w:r>
          </w:p>
        </w:tc>
        <w:tc>
          <w:tcPr>
            <w:tcW w:type="dxa" w:w="4000"/>
            <w:tcMar>
              <w:top w:type="dxa" w:w="80"/>
              <w:left w:type="dxa" w:w="100"/>
              <w:bottom w:type="dxa" w:w="80"/>
              <w:right w:type="dxa" w:w="100"/>
            </w:tcMar>
            <w:vAlign w:val="center"/>
          </w:tcPr>
          <w:p>
            <w:r>
              <w:rPr>
                <w:b w:val="false"/>
                <w:bCs w:val="false"/>
                <w:color w:val="222222"/>
                <w:sz w:val="19"/>
                <w:szCs w:val="19"/>
              </w:rPr>
              <w:t xml:space="preserve">Wide range reflects contract vs. hire and how much design/content work is founder-absorbed</w:t>
            </w:r>
          </w:p>
        </w:tc>
      </w:tr>
    </w:tbl>
    <w:p>
      <w:pPr>
        <w:pStyle w:val="Heading2"/>
        <w:spacing w:after="120" w:before="260"/>
      </w:pPr>
      <w:r>
        <w:t xml:space="preserve">10.2 Monthly Run-Rate (post-launch, Year 1)</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800"/>
      </w:tblGrid>
      <w:tr>
        <w:trPr>
          <w:tblHeader/>
        </w:trPr>
        <w:tc>
          <w:tcPr>
            <w:tcW w:type="dxa" w:w="3600"/>
            <w:shd w:fill="1f3b57" w:val="clear"/>
            <w:tcMar>
              <w:top w:type="dxa" w:w="80"/>
              <w:left w:type="dxa" w:w="100"/>
              <w:bottom w:type="dxa" w:w="80"/>
              <w:right w:type="dxa" w:w="100"/>
            </w:tcMar>
            <w:vAlign w:val="center"/>
          </w:tcPr>
          <w:p>
            <w:r>
              <w:rPr>
                <w:b/>
                <w:bCs/>
                <w:color w:val="FFFFFF"/>
                <w:sz w:val="19"/>
                <w:szCs w:val="19"/>
              </w:rPr>
              <w:t xml:space="preserve">Line item</w:t>
            </w:r>
          </w:p>
        </w:tc>
        <w:tc>
          <w:tcPr>
            <w:tcW w:type="dxa" w:w="2400"/>
            <w:shd w:fill="1f3b57" w:val="clear"/>
            <w:tcMar>
              <w:top w:type="dxa" w:w="80"/>
              <w:left w:type="dxa" w:w="100"/>
              <w:bottom w:type="dxa" w:w="80"/>
              <w:right w:type="dxa" w:w="100"/>
            </w:tcMar>
            <w:vAlign w:val="center"/>
          </w:tcPr>
          <w:p>
            <w:r>
              <w:rPr>
                <w:b/>
                <w:bCs/>
                <w:color w:val="FFFFFF"/>
                <w:sz w:val="19"/>
                <w:szCs w:val="19"/>
              </w:rPr>
              <w:t xml:space="preserve">Estimate / month</w:t>
            </w:r>
          </w:p>
        </w:tc>
        <w:tc>
          <w:tcPr>
            <w:tcW w:type="dxa" w:w="3800"/>
            <w:shd w:fill="1f3b57" w:val="clear"/>
            <w:tcMar>
              <w:top w:type="dxa" w:w="80"/>
              <w:left w:type="dxa" w:w="100"/>
              <w:bottom w:type="dxa" w:w="80"/>
              <w:right w:type="dxa" w:w="100"/>
            </w:tcMar>
            <w:vAlign w:val="center"/>
          </w:tcPr>
          <w:p>
            <w:r>
              <w:rPr>
                <w:b/>
                <w:bCs/>
                <w:color w:val="FFFFFF"/>
                <w:sz w:val="19"/>
                <w:szCs w:val="19"/>
              </w:rPr>
              <w:t xml:space="preserve">Notes</w:t>
            </w:r>
          </w:p>
        </w:tc>
      </w:tr>
      <w:tr>
        <w:tc>
          <w:tcPr>
            <w:tcW w:type="dxa" w:w="3600"/>
            <w:tcMar>
              <w:top w:type="dxa" w:w="80"/>
              <w:left w:type="dxa" w:w="100"/>
              <w:bottom w:type="dxa" w:w="80"/>
              <w:right w:type="dxa" w:w="100"/>
            </w:tcMar>
            <w:vAlign w:val="center"/>
          </w:tcPr>
          <w:p>
            <w:r>
              <w:rPr>
                <w:b w:val="false"/>
                <w:bCs w:val="false"/>
                <w:color w:val="222222"/>
                <w:sz w:val="19"/>
                <w:szCs w:val="19"/>
              </w:rPr>
              <w:t xml:space="preserve">Hosting &amp; infra (ECS Fargate + RDS + S3/CloudFront)</w:t>
            </w:r>
          </w:p>
        </w:tc>
        <w:tc>
          <w:tcPr>
            <w:tcW w:type="dxa" w:w="2400"/>
            <w:tcMar>
              <w:top w:type="dxa" w:w="80"/>
              <w:left w:type="dxa" w:w="100"/>
              <w:bottom w:type="dxa" w:w="80"/>
              <w:right w:type="dxa" w:w="100"/>
            </w:tcMar>
            <w:vAlign w:val="center"/>
          </w:tcPr>
          <w:p>
            <w:r>
              <w:rPr>
                <w:b w:val="false"/>
                <w:bCs w:val="false"/>
                <w:color w:val="222222"/>
                <w:sz w:val="19"/>
                <w:szCs w:val="19"/>
              </w:rPr>
              <w:t xml:space="preserve">$150 – $600</w:t>
            </w:r>
          </w:p>
        </w:tc>
        <w:tc>
          <w:tcPr>
            <w:tcW w:type="dxa" w:w="3800"/>
            <w:tcMar>
              <w:top w:type="dxa" w:w="80"/>
              <w:left w:type="dxa" w:w="100"/>
              <w:bottom w:type="dxa" w:w="80"/>
              <w:right w:type="dxa" w:w="100"/>
            </w:tcMar>
            <w:vAlign w:val="center"/>
          </w:tcPr>
          <w:p>
            <w:r>
              <w:rPr>
                <w:b w:val="false"/>
                <w:bCs w:val="false"/>
                <w:color w:val="222222"/>
                <w:sz w:val="19"/>
                <w:szCs w:val="19"/>
              </w:rPr>
              <w:t xml:space="preserve">Scales with traffic; low at launch</w:t>
            </w:r>
          </w:p>
        </w:tc>
      </w:tr>
      <w:tr>
        <w:tc>
          <w:tcPr>
            <w:tcW w:type="dxa" w:w="3600"/>
            <w:shd w:fill="F2ECDF" w:val="clear"/>
            <w:tcMar>
              <w:top w:type="dxa" w:w="80"/>
              <w:left w:type="dxa" w:w="100"/>
              <w:bottom w:type="dxa" w:w="80"/>
              <w:right w:type="dxa" w:w="100"/>
            </w:tcMar>
            <w:vAlign w:val="center"/>
          </w:tcPr>
          <w:p>
            <w:r>
              <w:rPr>
                <w:b w:val="false"/>
                <w:bCs w:val="false"/>
                <w:color w:val="222222"/>
                <w:sz w:val="19"/>
                <w:szCs w:val="19"/>
              </w:rPr>
              <w:t xml:space="preserve">Search/graph (once introduced)</w:t>
            </w:r>
          </w:p>
        </w:tc>
        <w:tc>
          <w:tcPr>
            <w:tcW w:type="dxa" w:w="2400"/>
            <w:shd w:fill="F2ECDF" w:val="clear"/>
            <w:tcMar>
              <w:top w:type="dxa" w:w="80"/>
              <w:left w:type="dxa" w:w="100"/>
              <w:bottom w:type="dxa" w:w="80"/>
              <w:right w:type="dxa" w:w="100"/>
            </w:tcMar>
            <w:vAlign w:val="center"/>
          </w:tcPr>
          <w:p>
            <w:r>
              <w:rPr>
                <w:b w:val="false"/>
                <w:bCs w:val="false"/>
                <w:color w:val="222222"/>
                <w:sz w:val="19"/>
                <w:szCs w:val="19"/>
              </w:rPr>
              <w:t xml:space="preserve">$0 – $400</w:t>
            </w:r>
          </w:p>
        </w:tc>
        <w:tc>
          <w:tcPr>
            <w:tcW w:type="dxa" w:w="3800"/>
            <w:shd w:fill="F2ECDF" w:val="clear"/>
            <w:tcMar>
              <w:top w:type="dxa" w:w="80"/>
              <w:left w:type="dxa" w:w="100"/>
              <w:bottom w:type="dxa" w:w="80"/>
              <w:right w:type="dxa" w:w="100"/>
            </w:tcMar>
            <w:vAlign w:val="center"/>
          </w:tcPr>
          <w:p>
            <w:r>
              <w:rPr>
                <w:b w:val="false"/>
                <w:bCs w:val="false"/>
                <w:color w:val="222222"/>
                <w:sz w:val="19"/>
                <w:szCs w:val="19"/>
              </w:rPr>
              <w:t xml:space="preserve">Postgres FTS is free; self-hosted Elasticsearch (reusing the ELK monitoring cluster) and Neo4j add modest compute once introduced</w:t>
            </w:r>
          </w:p>
        </w:tc>
      </w:tr>
      <w:tr>
        <w:tc>
          <w:tcPr>
            <w:tcW w:type="dxa" w:w="3600"/>
            <w:tcMar>
              <w:top w:type="dxa" w:w="80"/>
              <w:left w:type="dxa" w:w="100"/>
              <w:bottom w:type="dxa" w:w="80"/>
              <w:right w:type="dxa" w:w="100"/>
            </w:tcMar>
            <w:vAlign w:val="center"/>
          </w:tcPr>
          <w:p>
            <w:r>
              <w:rPr>
                <w:b w:val="false"/>
                <w:bCs w:val="false"/>
                <w:color w:val="222222"/>
                <w:sz w:val="19"/>
                <w:szCs w:val="19"/>
              </w:rPr>
              <w:t xml:space="preserve">AI/LLM API usage (search + scoped Q&amp;A)</w:t>
            </w:r>
          </w:p>
        </w:tc>
        <w:tc>
          <w:tcPr>
            <w:tcW w:type="dxa" w:w="2400"/>
            <w:tcMar>
              <w:top w:type="dxa" w:w="80"/>
              <w:left w:type="dxa" w:w="100"/>
              <w:bottom w:type="dxa" w:w="80"/>
              <w:right w:type="dxa" w:w="100"/>
            </w:tcMar>
            <w:vAlign w:val="center"/>
          </w:tcPr>
          <w:p>
            <w:r>
              <w:rPr>
                <w:b w:val="false"/>
                <w:bCs w:val="false"/>
                <w:color w:val="222222"/>
                <w:sz w:val="19"/>
                <w:szCs w:val="19"/>
              </w:rPr>
              <w:t xml:space="preserve">$100 – $800</w:t>
            </w:r>
          </w:p>
        </w:tc>
        <w:tc>
          <w:tcPr>
            <w:tcW w:type="dxa" w:w="3800"/>
            <w:tcMar>
              <w:top w:type="dxa" w:w="80"/>
              <w:left w:type="dxa" w:w="100"/>
              <w:bottom w:type="dxa" w:w="80"/>
              <w:right w:type="dxa" w:w="100"/>
            </w:tcMar>
            <w:vAlign w:val="center"/>
          </w:tcPr>
          <w:p>
            <w:r>
              <w:rPr>
                <w:b w:val="false"/>
                <w:bCs w:val="false"/>
                <w:color w:val="222222"/>
                <w:sz w:val="19"/>
                <w:szCs w:val="19"/>
              </w:rPr>
              <w:t xml:space="preserve">Depends on query volume; retrieval-grounded prompts keep token usage modest</w:t>
            </w:r>
          </w:p>
        </w:tc>
      </w:tr>
      <w:tr>
        <w:tc>
          <w:tcPr>
            <w:tcW w:type="dxa" w:w="3600"/>
            <w:shd w:fill="F2ECDF" w:val="clear"/>
            <w:tcMar>
              <w:top w:type="dxa" w:w="80"/>
              <w:left w:type="dxa" w:w="100"/>
              <w:bottom w:type="dxa" w:w="80"/>
              <w:right w:type="dxa" w:w="100"/>
            </w:tcMar>
            <w:vAlign w:val="center"/>
          </w:tcPr>
          <w:p>
            <w:r>
              <w:rPr>
                <w:b w:val="false"/>
                <w:bCs w:val="false"/>
                <w:color w:val="222222"/>
                <w:sz w:val="19"/>
                <w:szCs w:val="19"/>
              </w:rPr>
              <w:t xml:space="preserve">Ongoing content review (part-time Research Lead + advisory stipends)</w:t>
            </w:r>
          </w:p>
        </w:tc>
        <w:tc>
          <w:tcPr>
            <w:tcW w:type="dxa" w:w="2400"/>
            <w:shd w:fill="F2ECDF" w:val="clear"/>
            <w:tcMar>
              <w:top w:type="dxa" w:w="80"/>
              <w:left w:type="dxa" w:w="100"/>
              <w:bottom w:type="dxa" w:w="80"/>
              <w:right w:type="dxa" w:w="100"/>
            </w:tcMar>
            <w:vAlign w:val="center"/>
          </w:tcPr>
          <w:p>
            <w:r>
              <w:rPr>
                <w:b w:val="false"/>
                <w:bCs w:val="false"/>
                <w:color w:val="222222"/>
                <w:sz w:val="19"/>
                <w:szCs w:val="19"/>
              </w:rPr>
              <w:t xml:space="preserve">$3,000 – $6,000</w:t>
            </w:r>
          </w:p>
        </w:tc>
        <w:tc>
          <w:tcPr>
            <w:tcW w:type="dxa" w:w="3800"/>
            <w:shd w:fill="F2ECDF" w:val="clear"/>
            <w:tcMar>
              <w:top w:type="dxa" w:w="80"/>
              <w:left w:type="dxa" w:w="100"/>
              <w:bottom w:type="dxa" w:w="80"/>
              <w:right w:type="dxa" w:w="100"/>
            </w:tcMar>
            <w:vAlign w:val="center"/>
          </w:tcPr>
          <w:p>
            <w:r>
              <w:rPr>
                <w:b w:val="false"/>
                <w:bCs w:val="false"/>
                <w:color w:val="222222"/>
                <w:sz w:val="19"/>
                <w:szCs w:val="19"/>
              </w:rPr>
              <w:t xml:space="preserve">Content quality is ongoing, not one-time</w:t>
            </w:r>
          </w:p>
        </w:tc>
      </w:tr>
      <w:tr>
        <w:tc>
          <w:tcPr>
            <w:tcW w:type="dxa" w:w="3600"/>
            <w:tcMar>
              <w:top w:type="dxa" w:w="80"/>
              <w:left w:type="dxa" w:w="100"/>
              <w:bottom w:type="dxa" w:w="80"/>
              <w:right w:type="dxa" w:w="100"/>
            </w:tcMar>
            <w:vAlign w:val="center"/>
          </w:tcPr>
          <w:p>
            <w:r>
              <w:rPr>
                <w:b w:val="false"/>
                <w:bCs w:val="false"/>
                <w:color w:val="222222"/>
                <w:sz w:val="19"/>
                <w:szCs w:val="19"/>
              </w:rPr>
              <w:t xml:space="preserve">Small eng/design retainer for maintenance</w:t>
            </w:r>
          </w:p>
        </w:tc>
        <w:tc>
          <w:tcPr>
            <w:tcW w:type="dxa" w:w="2400"/>
            <w:tcMar>
              <w:top w:type="dxa" w:w="80"/>
              <w:left w:type="dxa" w:w="100"/>
              <w:bottom w:type="dxa" w:w="80"/>
              <w:right w:type="dxa" w:w="100"/>
            </w:tcMar>
            <w:vAlign w:val="center"/>
          </w:tcPr>
          <w:p>
            <w:r>
              <w:rPr>
                <w:b w:val="false"/>
                <w:bCs w:val="false"/>
                <w:color w:val="222222"/>
                <w:sz w:val="19"/>
                <w:szCs w:val="19"/>
              </w:rPr>
              <w:t xml:space="preserve">$4,000 – $10,000</w:t>
            </w:r>
          </w:p>
        </w:tc>
        <w:tc>
          <w:tcPr>
            <w:tcW w:type="dxa" w:w="3800"/>
            <w:tcMar>
              <w:top w:type="dxa" w:w="80"/>
              <w:left w:type="dxa" w:w="100"/>
              <w:bottom w:type="dxa" w:w="80"/>
              <w:right w:type="dxa" w:w="100"/>
            </w:tcMar>
            <w:vAlign w:val="center"/>
          </w:tcPr>
          <w:p>
            <w:r>
              <w:rPr>
                <w:b w:val="false"/>
                <w:bCs w:val="false"/>
                <w:color w:val="222222"/>
                <w:sz w:val="19"/>
                <w:szCs w:val="19"/>
              </w:rPr>
              <w:t xml:space="preserve">Bug fixes, new event additions, iteration</w:t>
            </w:r>
          </w:p>
        </w:tc>
      </w:tr>
      <w:tr>
        <w:tc>
          <w:tcPr>
            <w:tcW w:type="dxa" w:w="3600"/>
            <w:shd w:fill="F2ECDF" w:val="clear"/>
            <w:tcMar>
              <w:top w:type="dxa" w:w="80"/>
              <w:left w:type="dxa" w:w="100"/>
              <w:bottom w:type="dxa" w:w="80"/>
              <w:right w:type="dxa" w:w="100"/>
            </w:tcMar>
            <w:vAlign w:val="center"/>
          </w:tcPr>
          <w:p>
            <w:r>
              <w:rPr>
                <w:b w:val="false"/>
                <w:bCs w:val="false"/>
                <w:color w:val="222222"/>
                <w:sz w:val="19"/>
                <w:szCs w:val="19"/>
              </w:rPr>
              <w:t xml:space="preserve">Total estimated monthly run-rate</w:t>
            </w:r>
          </w:p>
        </w:tc>
        <w:tc>
          <w:tcPr>
            <w:tcW w:type="dxa" w:w="2400"/>
            <w:shd w:fill="F2ECDF" w:val="clear"/>
            <w:tcMar>
              <w:top w:type="dxa" w:w="80"/>
              <w:left w:type="dxa" w:w="100"/>
              <w:bottom w:type="dxa" w:w="80"/>
              <w:right w:type="dxa" w:w="100"/>
            </w:tcMar>
            <w:vAlign w:val="center"/>
          </w:tcPr>
          <w:p>
            <w:r>
              <w:rPr>
                <w:b w:val="false"/>
                <w:bCs w:val="false"/>
                <w:color w:val="222222"/>
                <w:sz w:val="19"/>
                <w:szCs w:val="19"/>
              </w:rPr>
              <w:t xml:space="preserve">$7,250 – $17,700</w:t>
            </w:r>
          </w:p>
        </w:tc>
        <w:tc>
          <w:tcPr>
            <w:tcW w:type="dxa" w:w="3800"/>
            <w:shd w:fill="F2ECDF" w:val="clear"/>
            <w:tcMar>
              <w:top w:type="dxa" w:w="80"/>
              <w:left w:type="dxa" w:w="100"/>
              <w:bottom w:type="dxa" w:w="80"/>
              <w:right w:type="dxa" w:w="100"/>
            </w:tcMar>
            <w:vAlign w:val="center"/>
          </w:tcPr>
          <w:p>
            <w:r>
              <w:rPr>
                <w:b w:val="false"/>
                <w:bCs w:val="false"/>
                <w:color w:val="222222"/>
                <w:sz w:val="19"/>
                <w:szCs w:val="19"/>
              </w:rPr>
              <w:t xml:space="preserve">Before any Phase 2+ expansion costs</w:t>
            </w:r>
          </w:p>
        </w:tc>
      </w:tr>
    </w:tbl>
    <w:p>
      <w:pPr>
        <w:pStyle w:val="Heading1"/>
        <w:pageBreakBefore/>
        <w:spacing w:after="160" w:before="200"/>
      </w:pPr>
      <w:r>
        <w:t xml:space="preserve">11. 12-Month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600"/>
      </w:tblGrid>
      <w:tr>
        <w:trPr>
          <w:tblHeader/>
        </w:trPr>
        <w:tc>
          <w:tcPr>
            <w:tcW w:type="dxa" w:w="1400"/>
            <w:shd w:fill="1f3b57" w:val="clear"/>
            <w:tcMar>
              <w:top w:type="dxa" w:w="80"/>
              <w:left w:type="dxa" w:w="100"/>
              <w:bottom w:type="dxa" w:w="80"/>
              <w:right w:type="dxa" w:w="100"/>
            </w:tcMar>
            <w:vAlign w:val="center"/>
          </w:tcPr>
          <w:p>
            <w:r>
              <w:rPr>
                <w:b/>
                <w:bCs/>
                <w:color w:val="FFFFFF"/>
                <w:sz w:val="19"/>
                <w:szCs w:val="19"/>
              </w:rPr>
              <w:t xml:space="preserve">Quarter</w:t>
            </w:r>
          </w:p>
        </w:tc>
        <w:tc>
          <w:tcPr>
            <w:tcW w:type="dxa" w:w="2400"/>
            <w:shd w:fill="1f3b57" w:val="clear"/>
            <w:tcMar>
              <w:top w:type="dxa" w:w="80"/>
              <w:left w:type="dxa" w:w="100"/>
              <w:bottom w:type="dxa" w:w="80"/>
              <w:right w:type="dxa" w:w="100"/>
            </w:tcMar>
            <w:vAlign w:val="center"/>
          </w:tcPr>
          <w:p>
            <w:r>
              <w:rPr>
                <w:b/>
                <w:bCs/>
                <w:color w:val="FFFFFF"/>
                <w:sz w:val="19"/>
                <w:szCs w:val="19"/>
              </w:rPr>
              <w:t xml:space="preserve">Focus</w:t>
            </w:r>
          </w:p>
        </w:tc>
        <w:tc>
          <w:tcPr>
            <w:tcW w:type="dxa" w:w="5600"/>
            <w:shd w:fill="1f3b57" w:val="clear"/>
            <w:tcMar>
              <w:top w:type="dxa" w:w="80"/>
              <w:left w:type="dxa" w:w="100"/>
              <w:bottom w:type="dxa" w:w="80"/>
              <w:right w:type="dxa" w:w="100"/>
            </w:tcMar>
            <w:vAlign w:val="center"/>
          </w:tcPr>
          <w:p>
            <w:r>
              <w:rPr>
                <w:b/>
                <w:bCs/>
                <w:color w:val="FFFFFF"/>
                <w:sz w:val="19"/>
                <w:szCs w:val="19"/>
              </w:rPr>
              <w:t xml:space="preserve">Key milestones</w:t>
            </w:r>
          </w:p>
        </w:tc>
      </w:tr>
      <w:tr>
        <w:tc>
          <w:tcPr>
            <w:tcW w:type="dxa" w:w="1400"/>
            <w:tcMar>
              <w:top w:type="dxa" w:w="80"/>
              <w:left w:type="dxa" w:w="100"/>
              <w:bottom w:type="dxa" w:w="80"/>
              <w:right w:type="dxa" w:w="100"/>
            </w:tcMar>
            <w:vAlign w:val="center"/>
          </w:tcPr>
          <w:p>
            <w:r>
              <w:rPr>
                <w:b w:val="false"/>
                <w:bCs w:val="false"/>
                <w:color w:val="222222"/>
                <w:sz w:val="19"/>
                <w:szCs w:val="19"/>
              </w:rPr>
              <w:t xml:space="preserve">Q1</w:t>
            </w:r>
          </w:p>
        </w:tc>
        <w:tc>
          <w:tcPr>
            <w:tcW w:type="dxa" w:w="2400"/>
            <w:tcMar>
              <w:top w:type="dxa" w:w="80"/>
              <w:left w:type="dxa" w:w="100"/>
              <w:bottom w:type="dxa" w:w="80"/>
              <w:right w:type="dxa" w:w="100"/>
            </w:tcMar>
            <w:vAlign w:val="center"/>
          </w:tcPr>
          <w:p>
            <w:r>
              <w:rPr>
                <w:b w:val="false"/>
                <w:bCs w:val="false"/>
                <w:color w:val="222222"/>
                <w:sz w:val="19"/>
                <w:szCs w:val="19"/>
              </w:rPr>
              <w:t xml:space="preserve">Foundation</w:t>
            </w:r>
          </w:p>
        </w:tc>
        <w:tc>
          <w:tcPr>
            <w:tcW w:type="dxa" w:w="5600"/>
            <w:tcMar>
              <w:top w:type="dxa" w:w="80"/>
              <w:left w:type="dxa" w:w="100"/>
              <w:bottom w:type="dxa" w:w="80"/>
              <w:right w:type="dxa" w:w="100"/>
            </w:tcMar>
            <w:vAlign w:val="center"/>
          </w:tcPr>
          <w:p>
            <w:r>
              <w:rPr>
                <w:b w:val="false"/>
                <w:bCs w:val="false"/>
                <w:color w:val="222222"/>
                <w:sz w:val="19"/>
                <w:szCs w:val="19"/>
              </w:rPr>
              <w:t xml:space="preserve">Scholarly Advisory Board formed; data schema finalized; source licensing (Section 6) resolved; first 15 events researched and reviewed; core timeline UI prototype</w:t>
            </w:r>
          </w:p>
        </w:tc>
      </w:tr>
      <w:tr>
        <w:tc>
          <w:tcPr>
            <w:tcW w:type="dxa" w:w="1400"/>
            <w:shd w:fill="F2ECDF" w:val="clear"/>
            <w:tcMar>
              <w:top w:type="dxa" w:w="80"/>
              <w:left w:type="dxa" w:w="100"/>
              <w:bottom w:type="dxa" w:w="80"/>
              <w:right w:type="dxa" w:w="100"/>
            </w:tcMar>
            <w:vAlign w:val="center"/>
          </w:tcPr>
          <w:p>
            <w:r>
              <w:rPr>
                <w:b w:val="false"/>
                <w:bCs w:val="false"/>
                <w:color w:val="222222"/>
                <w:sz w:val="19"/>
                <w:szCs w:val="19"/>
              </w:rPr>
              <w:t xml:space="preserve">Q2</w:t>
            </w:r>
          </w:p>
        </w:tc>
        <w:tc>
          <w:tcPr>
            <w:tcW w:type="dxa" w:w="2400"/>
            <w:shd w:fill="F2ECDF" w:val="clear"/>
            <w:tcMar>
              <w:top w:type="dxa" w:w="80"/>
              <w:left w:type="dxa" w:w="100"/>
              <w:bottom w:type="dxa" w:w="80"/>
              <w:right w:type="dxa" w:w="100"/>
            </w:tcMar>
            <w:vAlign w:val="center"/>
          </w:tcPr>
          <w:p>
            <w:r>
              <w:rPr>
                <w:b w:val="false"/>
                <w:bCs w:val="false"/>
                <w:color w:val="222222"/>
                <w:sz w:val="19"/>
                <w:szCs w:val="19"/>
              </w:rPr>
              <w:t xml:space="preserve">MVP build</w:t>
            </w:r>
          </w:p>
        </w:tc>
        <w:tc>
          <w:tcPr>
            <w:tcW w:type="dxa" w:w="5600"/>
            <w:shd w:fill="F2ECDF" w:val="clear"/>
            <w:tcMar>
              <w:top w:type="dxa" w:w="80"/>
              <w:left w:type="dxa" w:w="100"/>
              <w:bottom w:type="dxa" w:w="80"/>
              <w:right w:type="dxa" w:w="100"/>
            </w:tcMar>
            <w:vAlign w:val="center"/>
          </w:tcPr>
          <w:p>
            <w:r>
              <w:rPr>
                <w:b w:val="false"/>
                <w:bCs w:val="false"/>
                <w:color w:val="222222"/>
                <w:sz w:val="19"/>
                <w:szCs w:val="19"/>
              </w:rPr>
              <w:t xml:space="preserve">45–60 events fully researched, cited, and reviewed; five-panel event UI complete; static maps commissioned; search (basic) live; closed beta with a small group of teachers and students (personas in Section 2)</w:t>
            </w:r>
          </w:p>
        </w:tc>
      </w:tr>
      <w:tr>
        <w:tc>
          <w:tcPr>
            <w:tcW w:type="dxa" w:w="1400"/>
            <w:tcMar>
              <w:top w:type="dxa" w:w="80"/>
              <w:left w:type="dxa" w:w="100"/>
              <w:bottom w:type="dxa" w:w="80"/>
              <w:right w:type="dxa" w:w="100"/>
            </w:tcMar>
            <w:vAlign w:val="center"/>
          </w:tcPr>
          <w:p>
            <w:r>
              <w:rPr>
                <w:b w:val="false"/>
                <w:bCs w:val="false"/>
                <w:color w:val="222222"/>
                <w:sz w:val="19"/>
                <w:szCs w:val="19"/>
              </w:rPr>
              <w:t xml:space="preserve">Q3</w:t>
            </w:r>
          </w:p>
        </w:tc>
        <w:tc>
          <w:tcPr>
            <w:tcW w:type="dxa" w:w="2400"/>
            <w:tcMar>
              <w:top w:type="dxa" w:w="80"/>
              <w:left w:type="dxa" w:w="100"/>
              <w:bottom w:type="dxa" w:w="80"/>
              <w:right w:type="dxa" w:w="100"/>
            </w:tcMar>
            <w:vAlign w:val="center"/>
          </w:tcPr>
          <w:p>
            <w:r>
              <w:rPr>
                <w:b w:val="false"/>
                <w:bCs w:val="false"/>
                <w:color w:val="222222"/>
                <w:sz w:val="19"/>
                <w:szCs w:val="19"/>
              </w:rPr>
              <w:t xml:space="preserve">Public launch</w:t>
            </w:r>
          </w:p>
        </w:tc>
        <w:tc>
          <w:tcPr>
            <w:tcW w:type="dxa" w:w="5600"/>
            <w:tcMar>
              <w:top w:type="dxa" w:w="80"/>
              <w:left w:type="dxa" w:w="100"/>
              <w:bottom w:type="dxa" w:w="80"/>
              <w:right w:type="dxa" w:w="100"/>
            </w:tcMar>
            <w:vAlign w:val="center"/>
          </w:tcPr>
          <w:p>
            <w:r>
              <w:rPr>
                <w:b w:val="false"/>
                <w:bCs w:val="false"/>
                <w:color w:val="222222"/>
                <w:sz w:val="19"/>
                <w:szCs w:val="19"/>
              </w:rPr>
              <w:t xml:space="preserve">Phase 1 public launch; SEO-optimized event pages live; feedback loop instrumented (Section 1.3 metrics); begin interactive map upgrade (Section 7.2); begin Phase 2 companion data research</w:t>
            </w:r>
          </w:p>
        </w:tc>
      </w:tr>
      <w:tr>
        <w:tc>
          <w:tcPr>
            <w:tcW w:type="dxa" w:w="1400"/>
            <w:shd w:fill="F2ECDF" w:val="clear"/>
            <w:tcMar>
              <w:top w:type="dxa" w:w="80"/>
              <w:left w:type="dxa" w:w="100"/>
              <w:bottom w:type="dxa" w:w="80"/>
              <w:right w:type="dxa" w:w="100"/>
            </w:tcMar>
            <w:vAlign w:val="center"/>
          </w:tcPr>
          <w:p>
            <w:r>
              <w:rPr>
                <w:b w:val="false"/>
                <w:bCs w:val="false"/>
                <w:color w:val="222222"/>
                <w:sz w:val="19"/>
                <w:szCs w:val="19"/>
              </w:rPr>
              <w:t xml:space="preserve">Q4</w:t>
            </w:r>
          </w:p>
        </w:tc>
        <w:tc>
          <w:tcPr>
            <w:tcW w:type="dxa" w:w="2400"/>
            <w:shd w:fill="F2ECDF" w:val="clear"/>
            <w:tcMar>
              <w:top w:type="dxa" w:w="80"/>
              <w:left w:type="dxa" w:w="100"/>
              <w:bottom w:type="dxa" w:w="80"/>
              <w:right w:type="dxa" w:w="100"/>
            </w:tcMar>
            <w:vAlign w:val="center"/>
          </w:tcPr>
          <w:p>
            <w:r>
              <w:rPr>
                <w:b w:val="false"/>
                <w:bCs w:val="false"/>
                <w:color w:val="222222"/>
                <w:sz w:val="19"/>
                <w:szCs w:val="19"/>
              </w:rPr>
              <w:t xml:space="preserve">Phase 2 kickoff + sustainability</w:t>
            </w:r>
          </w:p>
        </w:tc>
        <w:tc>
          <w:tcPr>
            <w:tcW w:type="dxa" w:w="5600"/>
            <w:shd w:fill="F2ECDF" w:val="clear"/>
            <w:tcMar>
              <w:top w:type="dxa" w:w="80"/>
              <w:left w:type="dxa" w:w="100"/>
              <w:bottom w:type="dxa" w:w="80"/>
              <w:right w:type="dxa" w:w="100"/>
            </w:tcMar>
            <w:vAlign w:val="center"/>
          </w:tcPr>
          <w:p>
            <w:r>
              <w:rPr>
                <w:b w:val="false"/>
                <w:bCs w:val="false"/>
                <w:color w:val="222222"/>
                <w:sz w:val="19"/>
                <w:szCs w:val="19"/>
              </w:rPr>
              <w:t xml:space="preserve">Companion Timeline MVP (Abu Bakr, Umar, Uthman, Ali, Khalid ibn al-Walid, Aisha) begins rolling out; premium/institutional pilot (Section 14) launched with 2–3 schools or mosques; first retention/engagement data reviewed against Section 1.3 goals</w:t>
            </w:r>
          </w:p>
        </w:tc>
      </w:tr>
    </w:tbl>
    <w:p>
      <w:pPr>
        <w:pStyle w:val="Heading1"/>
        <w:pageBreakBefore/>
        <w:spacing w:after="160" w:before="200"/>
      </w:pPr>
      <w:r>
        <w:t xml:space="preserve">12. Risks and Mitigation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5200"/>
      </w:tblGrid>
      <w:tr>
        <w:trPr>
          <w:tblHeader/>
        </w:trPr>
        <w:tc>
          <w:tcPr>
            <w:tcW w:type="dxa" w:w="3400"/>
            <w:shd w:fill="1f3b57" w:val="clear"/>
            <w:tcMar>
              <w:top w:type="dxa" w:w="80"/>
              <w:left w:type="dxa" w:w="100"/>
              <w:bottom w:type="dxa" w:w="80"/>
              <w:right w:type="dxa" w:w="100"/>
            </w:tcMar>
            <w:vAlign w:val="center"/>
          </w:tcPr>
          <w:p>
            <w:r>
              <w:rPr>
                <w:b/>
                <w:bCs/>
                <w:color w:val="FFFFFF"/>
                <w:sz w:val="19"/>
                <w:szCs w:val="19"/>
              </w:rPr>
              <w:t xml:space="preserve">Risk</w:t>
            </w:r>
          </w:p>
        </w:tc>
        <w:tc>
          <w:tcPr>
            <w:tcW w:type="dxa" w:w="1400"/>
            <w:shd w:fill="1f3b57" w:val="clear"/>
            <w:tcMar>
              <w:top w:type="dxa" w:w="80"/>
              <w:left w:type="dxa" w:w="100"/>
              <w:bottom w:type="dxa" w:w="80"/>
              <w:right w:type="dxa" w:w="100"/>
            </w:tcMar>
            <w:vAlign w:val="center"/>
          </w:tcPr>
          <w:p>
            <w:r>
              <w:rPr>
                <w:b/>
                <w:bCs/>
                <w:color w:val="FFFFFF"/>
                <w:sz w:val="19"/>
                <w:szCs w:val="19"/>
              </w:rPr>
              <w:t xml:space="preserve">Impact</w:t>
            </w:r>
          </w:p>
        </w:tc>
        <w:tc>
          <w:tcPr>
            <w:tcW w:type="dxa" w:w="5200"/>
            <w:shd w:fill="1f3b57" w:val="clear"/>
            <w:tcMar>
              <w:top w:type="dxa" w:w="80"/>
              <w:left w:type="dxa" w:w="100"/>
              <w:bottom w:type="dxa" w:w="80"/>
              <w:right w:type="dxa" w:w="100"/>
            </w:tcMar>
            <w:vAlign w:val="center"/>
          </w:tcPr>
          <w:p>
            <w:r>
              <w:rPr>
                <w:b/>
                <w:bCs/>
                <w:color w:val="FFFFFF"/>
                <w:sz w:val="19"/>
                <w:szCs w:val="19"/>
              </w:rPr>
              <w:t xml:space="preserve">Mitigation</w:t>
            </w:r>
          </w:p>
        </w:tc>
      </w:tr>
      <w:tr>
        <w:tc>
          <w:tcPr>
            <w:tcW w:type="dxa" w:w="3400"/>
            <w:tcMar>
              <w:top w:type="dxa" w:w="80"/>
              <w:left w:type="dxa" w:w="100"/>
              <w:bottom w:type="dxa" w:w="80"/>
              <w:right w:type="dxa" w:w="100"/>
            </w:tcMar>
            <w:vAlign w:val="center"/>
          </w:tcPr>
          <w:p>
            <w:r>
              <w:rPr>
                <w:b w:val="false"/>
                <w:bCs w:val="false"/>
                <w:color w:val="222222"/>
                <w:sz w:val="19"/>
                <w:szCs w:val="19"/>
              </w:rPr>
              <w:t xml:space="preserve">Scholarly inaccuracy or sectarian framing damages trust</w:t>
            </w:r>
          </w:p>
        </w:tc>
        <w:tc>
          <w:tcPr>
            <w:tcW w:type="dxa" w:w="1400"/>
            <w:tcMar>
              <w:top w:type="dxa" w:w="80"/>
              <w:left w:type="dxa" w:w="100"/>
              <w:bottom w:type="dxa" w:w="80"/>
              <w:right w:type="dxa" w:w="100"/>
            </w:tcMar>
            <w:vAlign w:val="center"/>
          </w:tcPr>
          <w:p>
            <w:r>
              <w:rPr>
                <w:b w:val="false"/>
                <w:bCs w:val="false"/>
                <w:color w:val="222222"/>
                <w:sz w:val="19"/>
                <w:szCs w:val="19"/>
              </w:rPr>
              <w:t xml:space="preserve">High</w:t>
            </w:r>
          </w:p>
        </w:tc>
        <w:tc>
          <w:tcPr>
            <w:tcW w:type="dxa" w:w="5200"/>
            <w:tcMar>
              <w:top w:type="dxa" w:w="80"/>
              <w:left w:type="dxa" w:w="100"/>
              <w:bottom w:type="dxa" w:w="80"/>
              <w:right w:type="dxa" w:w="100"/>
            </w:tcMar>
            <w:vAlign w:val="center"/>
          </w:tcPr>
          <w:p>
            <w:r>
              <w:rPr>
                <w:b w:val="false"/>
                <w:bCs w:val="false"/>
                <w:color w:val="222222"/>
                <w:sz w:val="19"/>
                <w:szCs w:val="19"/>
              </w:rPr>
              <w:t xml:space="preserve">Advisory board sign-off gate (Section 1.7); certainty tagging (Section 5.4); avoid single-madhhab framing on contested points</w:t>
            </w:r>
          </w:p>
        </w:tc>
      </w:tr>
      <w:tr>
        <w:tc>
          <w:tcPr>
            <w:tcW w:type="dxa" w:w="3400"/>
            <w:shd w:fill="F2ECDF" w:val="clear"/>
            <w:tcMar>
              <w:top w:type="dxa" w:w="80"/>
              <w:left w:type="dxa" w:w="100"/>
              <w:bottom w:type="dxa" w:w="80"/>
              <w:right w:type="dxa" w:w="100"/>
            </w:tcMar>
            <w:vAlign w:val="center"/>
          </w:tcPr>
          <w:p>
            <w:r>
              <w:rPr>
                <w:b w:val="false"/>
                <w:bCs w:val="false"/>
                <w:color w:val="222222"/>
                <w:sz w:val="19"/>
                <w:szCs w:val="19"/>
              </w:rPr>
              <w:t xml:space="preserve">Copyright exposure (Martin Lings, Darussalam works)</w:t>
            </w:r>
          </w:p>
        </w:tc>
        <w:tc>
          <w:tcPr>
            <w:tcW w:type="dxa" w:w="1400"/>
            <w:shd w:fill="F2ECDF" w:val="clear"/>
            <w:tcMar>
              <w:top w:type="dxa" w:w="80"/>
              <w:left w:type="dxa" w:w="100"/>
              <w:bottom w:type="dxa" w:w="80"/>
              <w:right w:type="dxa" w:w="100"/>
            </w:tcMar>
            <w:vAlign w:val="center"/>
          </w:tcPr>
          <w:p>
            <w:r>
              <w:rPr>
                <w:b w:val="false"/>
                <w:bCs w:val="false"/>
                <w:color w:val="222222"/>
                <w:sz w:val="19"/>
                <w:szCs w:val="19"/>
              </w:rPr>
              <w:t xml:space="preserve">Medium-High</w:t>
            </w:r>
          </w:p>
        </w:tc>
        <w:tc>
          <w:tcPr>
            <w:tcW w:type="dxa" w:w="5200"/>
            <w:shd w:fill="F2ECDF" w:val="clear"/>
            <w:tcMar>
              <w:top w:type="dxa" w:w="80"/>
              <w:left w:type="dxa" w:w="100"/>
              <w:bottom w:type="dxa" w:w="80"/>
              <w:right w:type="dxa" w:w="100"/>
            </w:tcMar>
            <w:vAlign w:val="center"/>
          </w:tcPr>
          <w:p>
            <w:r>
              <w:rPr>
                <w:b w:val="false"/>
                <w:bCs w:val="false"/>
                <w:color w:val="222222"/>
                <w:sz w:val="19"/>
                <w:szCs w:val="19"/>
              </w:rPr>
              <w:t xml:space="preserve">Legal review before launch (Section 6.3/10.1); cite and paraphrase rather than reproduce; pursue formal licensing where substantive use is needed</w:t>
            </w:r>
          </w:p>
        </w:tc>
      </w:tr>
      <w:tr>
        <w:tc>
          <w:tcPr>
            <w:tcW w:type="dxa" w:w="3400"/>
            <w:tcMar>
              <w:top w:type="dxa" w:w="80"/>
              <w:left w:type="dxa" w:w="100"/>
              <w:bottom w:type="dxa" w:w="80"/>
              <w:right w:type="dxa" w:w="100"/>
            </w:tcMar>
            <w:vAlign w:val="center"/>
          </w:tcPr>
          <w:p>
            <w:r>
              <w:rPr>
                <w:b w:val="false"/>
                <w:bCs w:val="false"/>
                <w:color w:val="222222"/>
                <w:sz w:val="19"/>
                <w:szCs w:val="19"/>
              </w:rPr>
              <w:t xml:space="preserve">Sunnah.com API access delay or denial</w:t>
            </w:r>
          </w:p>
        </w:tc>
        <w:tc>
          <w:tcPr>
            <w:tcW w:type="dxa" w:w="1400"/>
            <w:tcMar>
              <w:top w:type="dxa" w:w="80"/>
              <w:left w:type="dxa" w:w="100"/>
              <w:bottom w:type="dxa" w:w="80"/>
              <w:right w:type="dxa" w:w="100"/>
            </w:tcMar>
            <w:vAlign w:val="center"/>
          </w:tcPr>
          <w:p>
            <w:r>
              <w:rPr>
                <w:b w:val="false"/>
                <w:bCs w:val="false"/>
                <w:color w:val="222222"/>
                <w:sz w:val="19"/>
                <w:szCs w:val="19"/>
              </w:rPr>
              <w:t xml:space="preserve">Medium</w:t>
            </w:r>
          </w:p>
        </w:tc>
        <w:tc>
          <w:tcPr>
            <w:tcW w:type="dxa" w:w="5200"/>
            <w:tcMar>
              <w:top w:type="dxa" w:w="80"/>
              <w:left w:type="dxa" w:w="100"/>
              <w:bottom w:type="dxa" w:w="80"/>
              <w:right w:type="dxa" w:w="100"/>
            </w:tcMar>
            <w:vAlign w:val="center"/>
          </w:tcPr>
          <w:p>
            <w:r>
              <w:rPr>
                <w:b w:val="false"/>
                <w:bCs w:val="false"/>
                <w:color w:val="222222"/>
                <w:sz w:val="19"/>
                <w:szCs w:val="19"/>
              </w:rPr>
              <w:t xml:space="preserve">Apply early (manual approval process); use open hadith datasets (Section 6.2) as a spot-checked interim source</w:t>
            </w:r>
          </w:p>
        </w:tc>
      </w:tr>
      <w:tr>
        <w:tc>
          <w:tcPr>
            <w:tcW w:type="dxa" w:w="3400"/>
            <w:shd w:fill="F2ECDF" w:val="clear"/>
            <w:tcMar>
              <w:top w:type="dxa" w:w="80"/>
              <w:left w:type="dxa" w:w="100"/>
              <w:bottom w:type="dxa" w:w="80"/>
              <w:right w:type="dxa" w:w="100"/>
            </w:tcMar>
            <w:vAlign w:val="center"/>
          </w:tcPr>
          <w:p>
            <w:r>
              <w:rPr>
                <w:b w:val="false"/>
                <w:bCs w:val="false"/>
                <w:color w:val="222222"/>
                <w:sz w:val="19"/>
                <w:szCs w:val="19"/>
              </w:rPr>
              <w:t xml:space="preserve">Content production becomes the bottleneck, not engineering</w:t>
            </w:r>
          </w:p>
        </w:tc>
        <w:tc>
          <w:tcPr>
            <w:tcW w:type="dxa" w:w="1400"/>
            <w:shd w:fill="F2ECDF" w:val="clear"/>
            <w:tcMar>
              <w:top w:type="dxa" w:w="80"/>
              <w:left w:type="dxa" w:w="100"/>
              <w:bottom w:type="dxa" w:w="80"/>
              <w:right w:type="dxa" w:w="100"/>
            </w:tcMar>
            <w:vAlign w:val="center"/>
          </w:tcPr>
          <w:p>
            <w:r>
              <w:rPr>
                <w:b w:val="false"/>
                <w:bCs w:val="false"/>
                <w:color w:val="222222"/>
                <w:sz w:val="19"/>
                <w:szCs w:val="19"/>
              </w:rPr>
              <w:t xml:space="preserve">High</w:t>
            </w:r>
          </w:p>
        </w:tc>
        <w:tc>
          <w:tcPr>
            <w:tcW w:type="dxa" w:w="5200"/>
            <w:shd w:fill="F2ECDF" w:val="clear"/>
            <w:tcMar>
              <w:top w:type="dxa" w:w="80"/>
              <w:left w:type="dxa" w:w="100"/>
              <w:bottom w:type="dxa" w:w="80"/>
              <w:right w:type="dxa" w:w="100"/>
            </w:tcMar>
            <w:vAlign w:val="center"/>
          </w:tcPr>
          <w:p>
            <w:r>
              <w:rPr>
                <w:b w:val="false"/>
                <w:bCs w:val="false"/>
                <w:color w:val="222222"/>
                <w:sz w:val="19"/>
                <w:szCs w:val="19"/>
              </w:rPr>
              <w:t xml:space="preserve">Start Research Lead work in Q1 parallel to engineering (Section 11); size MVP event count (45–60) to what the review pipeline can actually sustain</w:t>
            </w:r>
          </w:p>
        </w:tc>
      </w:tr>
      <w:tr>
        <w:tc>
          <w:tcPr>
            <w:tcW w:type="dxa" w:w="3400"/>
            <w:tcMar>
              <w:top w:type="dxa" w:w="80"/>
              <w:left w:type="dxa" w:w="100"/>
              <w:bottom w:type="dxa" w:w="80"/>
              <w:right w:type="dxa" w:w="100"/>
            </w:tcMar>
            <w:vAlign w:val="center"/>
          </w:tcPr>
          <w:p>
            <w:r>
              <w:rPr>
                <w:b w:val="false"/>
                <w:bCs w:val="false"/>
                <w:color w:val="222222"/>
                <w:sz w:val="19"/>
                <w:szCs w:val="19"/>
              </w:rPr>
              <w:t xml:space="preserve">Rich visual timeline underperforms on low-end mobile devices</w:t>
            </w:r>
          </w:p>
        </w:tc>
        <w:tc>
          <w:tcPr>
            <w:tcW w:type="dxa" w:w="1400"/>
            <w:tcMar>
              <w:top w:type="dxa" w:w="80"/>
              <w:left w:type="dxa" w:w="100"/>
              <w:bottom w:type="dxa" w:w="80"/>
              <w:right w:type="dxa" w:w="100"/>
            </w:tcMar>
            <w:vAlign w:val="center"/>
          </w:tcPr>
          <w:p>
            <w:r>
              <w:rPr>
                <w:b w:val="false"/>
                <w:bCs w:val="false"/>
                <w:color w:val="222222"/>
                <w:sz w:val="19"/>
                <w:szCs w:val="19"/>
              </w:rPr>
              <w:t xml:space="preserve">Medium</w:t>
            </w:r>
          </w:p>
        </w:tc>
        <w:tc>
          <w:tcPr>
            <w:tcW w:type="dxa" w:w="5200"/>
            <w:tcMar>
              <w:top w:type="dxa" w:w="80"/>
              <w:left w:type="dxa" w:w="100"/>
              <w:bottom w:type="dxa" w:w="80"/>
              <w:right w:type="dxa" w:w="100"/>
            </w:tcMar>
            <w:vAlign w:val="center"/>
          </w:tcPr>
          <w:p>
            <w:r>
              <w:rPr>
                <w:b w:val="false"/>
                <w:bCs w:val="false"/>
                <w:color w:val="222222"/>
                <w:sz w:val="19"/>
                <w:szCs w:val="19"/>
              </w:rPr>
              <w:t xml:space="preserve">Progressive rendering (DOM/SVG at MVP scale, Section 8.1); performance budget testing on mid-range Android devices before launch</w:t>
            </w:r>
          </w:p>
        </w:tc>
      </w:tr>
      <w:tr>
        <w:tc>
          <w:tcPr>
            <w:tcW w:type="dxa" w:w="3400"/>
            <w:shd w:fill="F2ECDF" w:val="clear"/>
            <w:tcMar>
              <w:top w:type="dxa" w:w="80"/>
              <w:left w:type="dxa" w:w="100"/>
              <w:bottom w:type="dxa" w:w="80"/>
              <w:right w:type="dxa" w:w="100"/>
            </w:tcMar>
            <w:vAlign w:val="center"/>
          </w:tcPr>
          <w:p>
            <w:r>
              <w:rPr>
                <w:b w:val="false"/>
                <w:bCs w:val="false"/>
                <w:color w:val="222222"/>
                <w:sz w:val="19"/>
                <w:szCs w:val="19"/>
              </w:rPr>
              <w:t xml:space="preserve">Cultural/community backlash over AI answering religious questions</w:t>
            </w:r>
          </w:p>
        </w:tc>
        <w:tc>
          <w:tcPr>
            <w:tcW w:type="dxa" w:w="1400"/>
            <w:shd w:fill="F2ECDF" w:val="clear"/>
            <w:tcMar>
              <w:top w:type="dxa" w:w="80"/>
              <w:left w:type="dxa" w:w="100"/>
              <w:bottom w:type="dxa" w:w="80"/>
              <w:right w:type="dxa" w:w="100"/>
            </w:tcMar>
            <w:vAlign w:val="center"/>
          </w:tcPr>
          <w:p>
            <w:r>
              <w:rPr>
                <w:b w:val="false"/>
                <w:bCs w:val="false"/>
                <w:color w:val="222222"/>
                <w:sz w:val="19"/>
                <w:szCs w:val="19"/>
              </w:rPr>
              <w:t xml:space="preserve">Medium-High</w:t>
            </w:r>
          </w:p>
        </w:tc>
        <w:tc>
          <w:tcPr>
            <w:tcW w:type="dxa" w:w="5200"/>
            <w:shd w:fill="F2ECDF" w:val="clear"/>
            <w:tcMar>
              <w:top w:type="dxa" w:w="80"/>
              <w:left w:type="dxa" w:w="100"/>
              <w:bottom w:type="dxa" w:w="80"/>
              <w:right w:type="dxa" w:w="100"/>
            </w:tcMar>
            <w:vAlign w:val="center"/>
          </w:tcPr>
          <w:p>
            <w:r>
              <w:rPr>
                <w:b w:val="false"/>
                <w:bCs w:val="false"/>
                <w:color w:val="222222"/>
                <w:sz w:val="19"/>
                <w:szCs w:val="19"/>
              </w:rPr>
              <w:t xml:space="preserve">Strict AI guardrails (Section 9.1); no rulings; visible sourcing; advisory board reviews AI output samples pre- and post-launch</w:t>
            </w:r>
          </w:p>
        </w:tc>
      </w:tr>
      <w:tr>
        <w:tc>
          <w:tcPr>
            <w:tcW w:type="dxa" w:w="3400"/>
            <w:tcMar>
              <w:top w:type="dxa" w:w="80"/>
              <w:left w:type="dxa" w:w="100"/>
              <w:bottom w:type="dxa" w:w="80"/>
              <w:right w:type="dxa" w:w="100"/>
            </w:tcMar>
            <w:vAlign w:val="center"/>
          </w:tcPr>
          <w:p>
            <w:r>
              <w:rPr>
                <w:b w:val="false"/>
                <w:bCs w:val="false"/>
                <w:color w:val="222222"/>
                <w:sz w:val="19"/>
                <w:szCs w:val="19"/>
              </w:rPr>
              <w:t xml:space="preserve">Geographic/historical inaccuracy in maps</w:t>
            </w:r>
          </w:p>
        </w:tc>
        <w:tc>
          <w:tcPr>
            <w:tcW w:type="dxa" w:w="1400"/>
            <w:tcMar>
              <w:top w:type="dxa" w:w="80"/>
              <w:left w:type="dxa" w:w="100"/>
              <w:bottom w:type="dxa" w:w="80"/>
              <w:right w:type="dxa" w:w="100"/>
            </w:tcMar>
            <w:vAlign w:val="center"/>
          </w:tcPr>
          <w:p>
            <w:r>
              <w:rPr>
                <w:b w:val="false"/>
                <w:bCs w:val="false"/>
                <w:color w:val="222222"/>
                <w:sz w:val="19"/>
                <w:szCs w:val="19"/>
              </w:rPr>
              <w:t xml:space="preserve">Medium</w:t>
            </w:r>
          </w:p>
        </w:tc>
        <w:tc>
          <w:tcPr>
            <w:tcW w:type="dxa" w:w="5200"/>
            <w:tcMar>
              <w:top w:type="dxa" w:w="80"/>
              <w:left w:type="dxa" w:w="100"/>
              <w:bottom w:type="dxa" w:w="80"/>
              <w:right w:type="dxa" w:w="100"/>
            </w:tcMar>
            <w:vAlign w:val="center"/>
          </w:tcPr>
          <w:p>
            <w:r>
              <w:rPr>
                <w:b w:val="false"/>
                <w:bCs w:val="false"/>
                <w:color w:val="222222"/>
                <w:sz w:val="19"/>
                <w:szCs w:val="19"/>
              </w:rPr>
              <w:t xml:space="preserve">Source map data from vetted references (Atlas of the Quran, Darussalam atlases, Section 6.4); advisory board reviews all map content, not just text</w:t>
            </w:r>
          </w:p>
        </w:tc>
      </w:tr>
      <w:tr>
        <w:tc>
          <w:tcPr>
            <w:tcW w:type="dxa" w:w="3400"/>
            <w:shd w:fill="F2ECDF" w:val="clear"/>
            <w:tcMar>
              <w:top w:type="dxa" w:w="80"/>
              <w:left w:type="dxa" w:w="100"/>
              <w:bottom w:type="dxa" w:w="80"/>
              <w:right w:type="dxa" w:w="100"/>
            </w:tcMar>
            <w:vAlign w:val="center"/>
          </w:tcPr>
          <w:p>
            <w:r>
              <w:rPr>
                <w:b w:val="false"/>
                <w:bCs w:val="false"/>
                <w:color w:val="222222"/>
                <w:sz w:val="19"/>
                <w:szCs w:val="19"/>
              </w:rPr>
              <w:t xml:space="preserve">Funding runway / sustainability</w:t>
            </w:r>
          </w:p>
        </w:tc>
        <w:tc>
          <w:tcPr>
            <w:tcW w:type="dxa" w:w="1400"/>
            <w:shd w:fill="F2ECDF" w:val="clear"/>
            <w:tcMar>
              <w:top w:type="dxa" w:w="80"/>
              <w:left w:type="dxa" w:w="100"/>
              <w:bottom w:type="dxa" w:w="80"/>
              <w:right w:type="dxa" w:w="100"/>
            </w:tcMar>
            <w:vAlign w:val="center"/>
          </w:tcPr>
          <w:p>
            <w:r>
              <w:rPr>
                <w:b w:val="false"/>
                <w:bCs w:val="false"/>
                <w:color w:val="222222"/>
                <w:sz w:val="19"/>
                <w:szCs w:val="19"/>
              </w:rPr>
              <w:t xml:space="preserve">Medium</w:t>
            </w:r>
          </w:p>
        </w:tc>
        <w:tc>
          <w:tcPr>
            <w:tcW w:type="dxa" w:w="5200"/>
            <w:shd w:fill="F2ECDF" w:val="clear"/>
            <w:tcMar>
              <w:top w:type="dxa" w:w="80"/>
              <w:left w:type="dxa" w:w="100"/>
              <w:bottom w:type="dxa" w:w="80"/>
              <w:right w:type="dxa" w:w="100"/>
            </w:tcMar>
            <w:vAlign w:val="center"/>
          </w:tcPr>
          <w:p>
            <w:r>
              <w:rPr>
                <w:b w:val="false"/>
                <w:bCs w:val="false"/>
                <w:color w:val="222222"/>
                <w:sz w:val="19"/>
                <w:szCs w:val="19"/>
              </w:rPr>
              <w:t xml:space="preserve">Blended monetization from Q4 (Section 14) rather than relying on one channel; keep MVP infra costs low (Section 10) until revenue signal exists</w:t>
            </w:r>
          </w:p>
        </w:tc>
      </w:tr>
      <w:tr>
        <w:tc>
          <w:tcPr>
            <w:tcW w:type="dxa" w:w="3400"/>
            <w:tcMar>
              <w:top w:type="dxa" w:w="80"/>
              <w:left w:type="dxa" w:w="100"/>
              <w:bottom w:type="dxa" w:w="80"/>
              <w:right w:type="dxa" w:w="100"/>
            </w:tcMar>
            <w:vAlign w:val="center"/>
          </w:tcPr>
          <w:p>
            <w:r>
              <w:rPr>
                <w:b w:val="false"/>
                <w:bCs w:val="false"/>
                <w:color w:val="222222"/>
                <w:sz w:val="19"/>
                <w:szCs w:val="19"/>
              </w:rPr>
              <w:t xml:space="preserve">Manual content curation doesn't scale to Phases 2–5</w:t>
            </w:r>
          </w:p>
        </w:tc>
        <w:tc>
          <w:tcPr>
            <w:tcW w:type="dxa" w:w="1400"/>
            <w:tcMar>
              <w:top w:type="dxa" w:w="80"/>
              <w:left w:type="dxa" w:w="100"/>
              <w:bottom w:type="dxa" w:w="80"/>
              <w:right w:type="dxa" w:w="100"/>
            </w:tcMar>
            <w:vAlign w:val="center"/>
          </w:tcPr>
          <w:p>
            <w:r>
              <w:rPr>
                <w:b w:val="false"/>
                <w:bCs w:val="false"/>
                <w:color w:val="222222"/>
                <w:sz w:val="19"/>
                <w:szCs w:val="19"/>
              </w:rPr>
              <w:t xml:space="preserve">Medium</w:t>
            </w:r>
          </w:p>
        </w:tc>
        <w:tc>
          <w:tcPr>
            <w:tcW w:type="dxa" w:w="5200"/>
            <w:tcMar>
              <w:top w:type="dxa" w:w="80"/>
              <w:left w:type="dxa" w:w="100"/>
              <w:bottom w:type="dxa" w:w="80"/>
              <w:right w:type="dxa" w:w="100"/>
            </w:tcMar>
            <w:vAlign w:val="center"/>
          </w:tcPr>
          <w:p>
            <w:r>
              <w:rPr>
                <w:b w:val="false"/>
                <w:bCs w:val="false"/>
                <w:color w:val="222222"/>
                <w:sz w:val="19"/>
                <w:szCs w:val="19"/>
              </w:rPr>
              <w:t xml:space="preserve">Data model (Section 5) is built for reuse across phases from day one, avoiding a schema rewrite; CMS workflow designed for a growing contributor pool, not just one Research Lead</w:t>
            </w:r>
          </w:p>
        </w:tc>
      </w:tr>
    </w:tbl>
    <w:p>
      <w:pPr>
        <w:pStyle w:val="Heading1"/>
        <w:pageBreakBefore/>
        <w:spacing w:after="160" w:before="200"/>
      </w:pPr>
      <w:r>
        <w:t xml:space="preserve">13. Competitive Analysis</w:t>
      </w:r>
    </w:p>
    <w:p>
      <w:pPr>
        <w:spacing w:after="140" w:line="300"/>
      </w:pPr>
      <w:r>
        <w:rPr>
          <w:b w:val="false"/>
          <w:bCs w:val="false"/>
          <w:i w:val="false"/>
          <w:iCs w:val="false"/>
        </w:rPr>
        <w:t xml:space="preserve">Research (July 2026) found a fragmented field: several products cover one dimension of the vision well, none combine all four (zoomable timeline + interactive map + companion/relationship graph + verse/hadith citation).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shd w:fill="1f3b57" w:val="clear"/>
            <w:tcMar>
              <w:top w:type="dxa" w:w="80"/>
              <w:left w:type="dxa" w:w="100"/>
              <w:bottom w:type="dxa" w:w="80"/>
              <w:right w:type="dxa" w:w="100"/>
            </w:tcMar>
            <w:vAlign w:val="center"/>
          </w:tcPr>
          <w:p>
            <w:r>
              <w:rPr>
                <w:b/>
                <w:bCs/>
                <w:color w:val="FFFFFF"/>
                <w:sz w:val="19"/>
                <w:szCs w:val="19"/>
              </w:rPr>
              <w:t xml:space="preserve">Product</w:t>
            </w:r>
          </w:p>
        </w:tc>
        <w:tc>
          <w:tcPr>
            <w:tcW w:type="dxa" w:w="3600"/>
            <w:shd w:fill="1f3b57" w:val="clear"/>
            <w:tcMar>
              <w:top w:type="dxa" w:w="80"/>
              <w:left w:type="dxa" w:w="100"/>
              <w:bottom w:type="dxa" w:w="80"/>
              <w:right w:type="dxa" w:w="100"/>
            </w:tcMar>
            <w:vAlign w:val="center"/>
          </w:tcPr>
          <w:p>
            <w:r>
              <w:rPr>
                <w:b/>
                <w:bCs/>
                <w:color w:val="FFFFFF"/>
                <w:sz w:val="19"/>
                <w:szCs w:val="19"/>
              </w:rPr>
              <w:t xml:space="preserve">Covers</w:t>
            </w:r>
          </w:p>
        </w:tc>
        <w:tc>
          <w:tcPr>
            <w:tcW w:type="dxa" w:w="3200"/>
            <w:shd w:fill="1f3b57" w:val="clear"/>
            <w:tcMar>
              <w:top w:type="dxa" w:w="80"/>
              <w:left w:type="dxa" w:w="100"/>
              <w:bottom w:type="dxa" w:w="80"/>
              <w:right w:type="dxa" w:w="100"/>
            </w:tcMar>
            <w:vAlign w:val="center"/>
          </w:tcPr>
          <w:p>
            <w:r>
              <w:rPr>
                <w:b/>
                <w:bCs/>
                <w:color w:val="FFFFFF"/>
                <w:sz w:val="19"/>
                <w:szCs w:val="19"/>
              </w:rPr>
              <w:t xml:space="preserve">Gap vs. this platform</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HijriTimeline</w:t>
            </w:r>
          </w:p>
        </w:tc>
        <w:tc>
          <w:tcPr>
            <w:tcW w:type="dxa" w:w="3600"/>
            <w:tcMar>
              <w:top w:type="dxa" w:w="80"/>
              <w:left w:type="dxa" w:w="100"/>
              <w:bottom w:type="dxa" w:w="80"/>
              <w:right w:type="dxa" w:w="100"/>
            </w:tcMar>
            <w:vAlign w:val="center"/>
          </w:tcPr>
          <w:p>
            <w:r>
              <w:rPr>
                <w:b w:val="false"/>
                <w:bCs w:val="false"/>
                <w:color w:val="222222"/>
                <w:sz w:val="19"/>
                <w:szCs w:val="19"/>
              </w:rPr>
              <w:t xml:space="preserve">Broad chronology (52,881 events across 8 eras), search, AI companion</w:t>
            </w:r>
          </w:p>
        </w:tc>
        <w:tc>
          <w:tcPr>
            <w:tcW w:type="dxa" w:w="3200"/>
            <w:tcMar>
              <w:top w:type="dxa" w:w="80"/>
              <w:left w:type="dxa" w:w="100"/>
              <w:bottom w:type="dxa" w:w="80"/>
              <w:right w:type="dxa" w:w="100"/>
            </w:tcMar>
            <w:vAlign w:val="center"/>
          </w:tcPr>
          <w:p>
            <w:r>
              <w:rPr>
                <w:b w:val="false"/>
                <w:bCs w:val="false"/>
                <w:color w:val="222222"/>
                <w:sz w:val="19"/>
                <w:szCs w:val="19"/>
              </w:rPr>
              <w:t xml:space="preserve">Database/list-driven, not a visual zoomable canvas; no map, companion graph, or verse/hadith cross-referencing</w:t>
            </w:r>
          </w:p>
        </w:tc>
      </w:tr>
      <w:tr>
        <w:tc>
          <w:tcPr>
            <w:tcW w:type="dxa" w:w="2400"/>
            <w:shd w:fill="F2ECDF" w:val="clear"/>
            <w:tcMar>
              <w:top w:type="dxa" w:w="80"/>
              <w:left w:type="dxa" w:w="100"/>
              <w:bottom w:type="dxa" w:w="80"/>
              <w:right w:type="dxa" w:w="100"/>
            </w:tcMar>
            <w:vAlign w:val="center"/>
          </w:tcPr>
          <w:p>
            <w:r>
              <w:rPr>
                <w:b w:val="false"/>
                <w:bCs w:val="false"/>
                <w:color w:val="222222"/>
                <w:sz w:val="19"/>
                <w:szCs w:val="19"/>
              </w:rPr>
              <w:t xml:space="preserve">The Interactive Seerah</w:t>
            </w:r>
          </w:p>
        </w:tc>
        <w:tc>
          <w:tcPr>
            <w:tcW w:type="dxa" w:w="3600"/>
            <w:shd w:fill="F2ECDF" w:val="clear"/>
            <w:tcMar>
              <w:top w:type="dxa" w:w="80"/>
              <w:left w:type="dxa" w:w="100"/>
              <w:bottom w:type="dxa" w:w="80"/>
              <w:right w:type="dxa" w:w="100"/>
            </w:tcMar>
            <w:vAlign w:val="center"/>
          </w:tcPr>
          <w:p>
            <w:r>
              <w:rPr>
                <w:b w:val="false"/>
                <w:bCs w:val="false"/>
                <w:color w:val="222222"/>
                <w:sz w:val="19"/>
                <w:szCs w:val="19"/>
              </w:rPr>
              <w:t xml:space="preserve">Web timeline of the Prophet's life based on The Sealed Nectar</w:t>
            </w:r>
          </w:p>
        </w:tc>
        <w:tc>
          <w:tcPr>
            <w:tcW w:type="dxa" w:w="3200"/>
            <w:shd w:fill="F2ECDF" w:val="clear"/>
            <w:tcMar>
              <w:top w:type="dxa" w:w="80"/>
              <w:left w:type="dxa" w:w="100"/>
              <w:bottom w:type="dxa" w:w="80"/>
              <w:right w:type="dxa" w:w="100"/>
            </w:tcMar>
            <w:vAlign w:val="center"/>
          </w:tcPr>
          <w:p>
            <w:r>
              <w:rPr>
                <w:b w:val="false"/>
                <w:bCs w:val="false"/>
                <w:color w:val="222222"/>
                <w:sz w:val="19"/>
                <w:szCs w:val="19"/>
              </w:rPr>
              <w:t xml:space="preserve">Single-source; no Quran/hadith citation linking, geography, or companion layer described</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Prophetic Timeline (MRDF)</w:t>
            </w:r>
          </w:p>
        </w:tc>
        <w:tc>
          <w:tcPr>
            <w:tcW w:type="dxa" w:w="3600"/>
            <w:tcMar>
              <w:top w:type="dxa" w:w="80"/>
              <w:left w:type="dxa" w:w="100"/>
              <w:bottom w:type="dxa" w:w="80"/>
              <w:right w:type="dxa" w:w="100"/>
            </w:tcMar>
            <w:vAlign w:val="center"/>
          </w:tcPr>
          <w:p>
            <w:r>
              <w:rPr>
                <w:b w:val="false"/>
                <w:bCs w:val="false"/>
                <w:color w:val="222222"/>
                <w:sz w:val="19"/>
                <w:szCs w:val="19"/>
              </w:rPr>
              <w:t xml:space="preserve">Interactive timeline + a separate “Sirah Map”</w:t>
            </w:r>
          </w:p>
        </w:tc>
        <w:tc>
          <w:tcPr>
            <w:tcW w:type="dxa" w:w="3200"/>
            <w:tcMar>
              <w:top w:type="dxa" w:w="80"/>
              <w:left w:type="dxa" w:w="100"/>
              <w:bottom w:type="dxa" w:w="80"/>
              <w:right w:type="dxa" w:w="100"/>
            </w:tcMar>
            <w:vAlign w:val="center"/>
          </w:tcPr>
          <w:p>
            <w:r>
              <w:rPr>
                <w:b w:val="false"/>
                <w:bCs w:val="false"/>
                <w:color w:val="222222"/>
                <w:sz w:val="19"/>
                <w:szCs w:val="19"/>
              </w:rPr>
              <w:t xml:space="preserve">Dated UI/tech stack; no unified knowledge graph or companion depth</w:t>
            </w:r>
          </w:p>
        </w:tc>
      </w:tr>
      <w:tr>
        <w:tc>
          <w:tcPr>
            <w:tcW w:type="dxa" w:w="2400"/>
            <w:shd w:fill="F2ECDF" w:val="clear"/>
            <w:tcMar>
              <w:top w:type="dxa" w:w="80"/>
              <w:left w:type="dxa" w:w="100"/>
              <w:bottom w:type="dxa" w:w="80"/>
              <w:right w:type="dxa" w:w="100"/>
            </w:tcMar>
            <w:vAlign w:val="center"/>
          </w:tcPr>
          <w:p>
            <w:r>
              <w:rPr>
                <w:b w:val="false"/>
                <w:bCs w:val="false"/>
                <w:color w:val="222222"/>
                <w:sz w:val="19"/>
                <w:szCs w:val="19"/>
              </w:rPr>
              <w:t xml:space="preserve">Seerah app (Greentech Apps Foundation)</w:t>
            </w:r>
          </w:p>
        </w:tc>
        <w:tc>
          <w:tcPr>
            <w:tcW w:type="dxa" w:w="3600"/>
            <w:shd w:fill="F2ECDF" w:val="clear"/>
            <w:tcMar>
              <w:top w:type="dxa" w:w="80"/>
              <w:left w:type="dxa" w:w="100"/>
              <w:bottom w:type="dxa" w:w="80"/>
              <w:right w:type="dxa" w:w="100"/>
            </w:tcMar>
            <w:vAlign w:val="center"/>
          </w:tcPr>
          <w:p>
            <w:r>
              <w:rPr>
                <w:b w:val="false"/>
                <w:bCs w:val="false"/>
                <w:color w:val="222222"/>
                <w:sz w:val="19"/>
                <w:szCs w:val="19"/>
              </w:rPr>
              <w:t xml:space="preserve">Mobile app, chronological Sealed Nectar summary</w:t>
            </w:r>
          </w:p>
        </w:tc>
        <w:tc>
          <w:tcPr>
            <w:tcW w:type="dxa" w:w="3200"/>
            <w:shd w:fill="F2ECDF" w:val="clear"/>
            <w:tcMar>
              <w:top w:type="dxa" w:w="80"/>
              <w:left w:type="dxa" w:w="100"/>
              <w:bottom w:type="dxa" w:w="80"/>
              <w:right w:type="dxa" w:w="100"/>
            </w:tcMar>
            <w:vAlign w:val="center"/>
          </w:tcPr>
          <w:p>
            <w:r>
              <w:rPr>
                <w:b w:val="false"/>
                <w:bCs w:val="false"/>
                <w:color w:val="222222"/>
                <w:sz w:val="19"/>
                <w:szCs w:val="19"/>
              </w:rPr>
              <w:t xml:space="preserve">Book-summary format; no verse/hadith linking or interactive map</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Sirah Quest</w:t>
            </w:r>
          </w:p>
        </w:tc>
        <w:tc>
          <w:tcPr>
            <w:tcW w:type="dxa" w:w="3600"/>
            <w:tcMar>
              <w:top w:type="dxa" w:w="80"/>
              <w:left w:type="dxa" w:w="100"/>
              <w:bottom w:type="dxa" w:w="80"/>
              <w:right w:type="dxa" w:w="100"/>
            </w:tcMar>
            <w:vAlign w:val="center"/>
          </w:tcPr>
          <w:p>
            <w:r>
              <w:rPr>
                <w:b w:val="false"/>
                <w:bCs w:val="false"/>
                <w:color w:val="222222"/>
                <w:sz w:val="19"/>
                <w:szCs w:val="19"/>
              </w:rPr>
              <w:t xml:space="preserve">Structured 78-chapter course, quizzes, audio, freemium</w:t>
            </w:r>
          </w:p>
        </w:tc>
        <w:tc>
          <w:tcPr>
            <w:tcW w:type="dxa" w:w="3200"/>
            <w:tcMar>
              <w:top w:type="dxa" w:w="80"/>
              <w:left w:type="dxa" w:w="100"/>
              <w:bottom w:type="dxa" w:w="80"/>
              <w:right w:type="dxa" w:w="100"/>
            </w:tcMar>
            <w:vAlign w:val="center"/>
          </w:tcPr>
          <w:p>
            <w:r>
              <w:rPr>
                <w:b w:val="false"/>
                <w:bCs w:val="false"/>
                <w:color w:val="222222"/>
                <w:sz w:val="19"/>
                <w:szCs w:val="19"/>
              </w:rPr>
              <w:t xml:space="preserve">Linear curriculum, not exploratory; no timeline or map at all</w:t>
            </w:r>
          </w:p>
        </w:tc>
      </w:tr>
      <w:tr>
        <w:tc>
          <w:tcPr>
            <w:tcW w:type="dxa" w:w="2400"/>
            <w:shd w:fill="F2ECDF" w:val="clear"/>
            <w:tcMar>
              <w:top w:type="dxa" w:w="80"/>
              <w:left w:type="dxa" w:w="100"/>
              <w:bottom w:type="dxa" w:w="80"/>
              <w:right w:type="dxa" w:w="100"/>
            </w:tcMar>
            <w:vAlign w:val="center"/>
          </w:tcPr>
          <w:p>
            <w:r>
              <w:rPr>
                <w:b w:val="false"/>
                <w:bCs w:val="false"/>
                <w:color w:val="222222"/>
                <w:sz w:val="19"/>
                <w:szCs w:val="19"/>
              </w:rPr>
              <w:t xml:space="preserve">SirahMaps</w:t>
            </w:r>
          </w:p>
        </w:tc>
        <w:tc>
          <w:tcPr>
            <w:tcW w:type="dxa" w:w="3600"/>
            <w:shd w:fill="F2ECDF" w:val="clear"/>
            <w:tcMar>
              <w:top w:type="dxa" w:w="80"/>
              <w:left w:type="dxa" w:w="100"/>
              <w:bottom w:type="dxa" w:w="80"/>
              <w:right w:type="dxa" w:w="100"/>
            </w:tcMar>
            <w:vAlign w:val="center"/>
          </w:tcPr>
          <w:p>
            <w:r>
              <w:rPr>
                <w:b w:val="false"/>
                <w:bCs w:val="false"/>
                <w:color w:val="222222"/>
                <w:sz w:val="19"/>
                <w:szCs w:val="19"/>
              </w:rPr>
              <w:t xml:space="preserve">Strong interactive Makkah/Madinah geography, 3D animations (paid tier)</w:t>
            </w:r>
          </w:p>
        </w:tc>
        <w:tc>
          <w:tcPr>
            <w:tcW w:type="dxa" w:w="3200"/>
            <w:shd w:fill="F2ECDF" w:val="clear"/>
            <w:tcMar>
              <w:top w:type="dxa" w:w="80"/>
              <w:left w:type="dxa" w:w="100"/>
              <w:bottom w:type="dxa" w:w="80"/>
              <w:right w:type="dxa" w:w="100"/>
            </w:tcMar>
            <w:vAlign w:val="center"/>
          </w:tcPr>
          <w:p>
            <w:r>
              <w:rPr>
                <w:b w:val="false"/>
                <w:bCs w:val="false"/>
                <w:color w:val="222222"/>
                <w:sz w:val="19"/>
                <w:szCs w:val="19"/>
              </w:rPr>
              <w:t xml:space="preserve">Map-only; not integrated with a full event timeline or citation graph</w:t>
            </w:r>
          </w:p>
        </w:tc>
      </w:tr>
      <w:tr>
        <w:tc>
          <w:tcPr>
            <w:tcW w:type="dxa" w:w="2400"/>
            <w:tcMar>
              <w:top w:type="dxa" w:w="80"/>
              <w:left w:type="dxa" w:w="100"/>
              <w:bottom w:type="dxa" w:w="80"/>
              <w:right w:type="dxa" w:w="100"/>
            </w:tcMar>
            <w:vAlign w:val="center"/>
          </w:tcPr>
          <w:p>
            <w:r>
              <w:rPr>
                <w:b w:val="false"/>
                <w:bCs w:val="false"/>
                <w:color w:val="222222"/>
                <w:sz w:val="19"/>
                <w:szCs w:val="19"/>
              </w:rPr>
              <w:t xml:space="preserve">Atlas of the Quran (atlasofquran.github.io)</w:t>
            </w:r>
          </w:p>
        </w:tc>
        <w:tc>
          <w:tcPr>
            <w:tcW w:type="dxa" w:w="3600"/>
            <w:tcMar>
              <w:top w:type="dxa" w:w="80"/>
              <w:left w:type="dxa" w:w="100"/>
              <w:bottom w:type="dxa" w:w="80"/>
              <w:right w:type="dxa" w:w="100"/>
            </w:tcMar>
            <w:vAlign w:val="center"/>
          </w:tcPr>
          <w:p>
            <w:r>
              <w:rPr>
                <w:b w:val="false"/>
                <w:bCs w:val="false"/>
                <w:color w:val="222222"/>
                <w:sz w:val="19"/>
                <w:szCs w:val="19"/>
              </w:rPr>
              <w:t xml:space="preserve">Interactive atlas of Quranic prophets/people/places with linked verses</w:t>
            </w:r>
          </w:p>
        </w:tc>
        <w:tc>
          <w:tcPr>
            <w:tcW w:type="dxa" w:w="3200"/>
            <w:tcMar>
              <w:top w:type="dxa" w:w="80"/>
              <w:left w:type="dxa" w:w="100"/>
              <w:bottom w:type="dxa" w:w="80"/>
              <w:right w:type="dxa" w:w="100"/>
            </w:tcMar>
            <w:vAlign w:val="center"/>
          </w:tcPr>
          <w:p>
            <w:r>
              <w:rPr>
                <w:b w:val="false"/>
                <w:bCs w:val="false"/>
                <w:color w:val="222222"/>
                <w:sz w:val="19"/>
                <w:szCs w:val="19"/>
              </w:rPr>
              <w:t xml:space="preserve">Quran-wide, not Seerah-chronology-specific; fairly static site, no companion network or timeline layer</w:t>
            </w:r>
          </w:p>
        </w:tc>
      </w:tr>
    </w:tbl>
    <w:p>
      <w:pPr>
        <w:spacing w:after="140" w:line="300"/>
      </w:pPr>
      <w:r>
        <w:rPr>
          <w:b w:val="false"/>
          <w:bCs w:val="false"/>
          <w:i w:val="false"/>
          <w:iCs w:val="false"/>
        </w:rPr>
        <w:t xml:space="preserve">Peripheral competitors worth noting: Muslim Pro, Quran.com, Bayyinah TV, Yaqeen Institute, and IslamicFinder are mass-market or content-library products without a timeline/map/graph feature at all. Kids' story apps (Anbiya, Qisas al-Anbiya) are a natural Phase 3 audience adjacency, not a current competitor. "Jibreel" (positioned as "Duolingo for Islamic Knowledge") is the clearest brand-adjacent competitor to watch but has no timeline/map component.</w:t>
      </w:r>
    </w:p>
    <w:p>
      <w:pPr>
        <w:spacing w:after="140" w:line="300"/>
      </w:pPr>
      <w:r>
        <w:rPr>
          <w:b w:val="false"/>
          <w:bCs w:val="false"/>
          <w:i w:val="false"/>
          <w:iCs w:val="false"/>
        </w:rPr>
        <w:t xml:space="preserve">Cross-domain inspiration: Histography.io (physics-based zoomable timeline UX, though now largely inactive — a cautionary example on long-term maintenance), and especially The Timeline Bible / BibleProject app, which fuses a timeline, 3D map, scripture reader, and an AI "Scholar" assistant — the closest cross-religion analog to this product's exact combination of features, worth studying directly as both a UX and business-model reference. Kumu.io's "Focus" mode (decluttering a large graph around a selected node) is a useful pattern for the Phase 5 knowledge graph view.</w:t>
      </w:r>
    </w:p>
    <w:p>
      <w:pPr>
        <w:spacing w:after="140" w:line="300"/>
      </w:pPr>
      <w:r>
        <w:rPr>
          <w:b w:val="false"/>
          <w:bCs w:val="false"/>
          <w:i w:val="false"/>
          <w:iCs w:val="false"/>
        </w:rPr>
        <w:t xml:space="preserve">Market signal: no funding was found specific to a Seerah/Islamic-history-timeline thesis, but Islamic edtech and the broader Muslim digital economy are seeing meaningful capital flow (the sector attracted $733M+ in 2024, with dedicated vehicles like Wahed Ventures and STV's $100M Sharia-compliant NICE fund active in 2025) — a timing argument for entering now rather than evidence the space is saturated.</w:t>
      </w:r>
    </w:p>
    <w:p>
      <w:pPr>
        <w:pStyle w:val="Heading1"/>
        <w:pageBreakBefore/>
        <w:spacing w:after="160" w:before="200"/>
      </w:pPr>
      <w:r>
        <w:t xml:space="preserve">14. Monetization Strategy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b57" w:val="clear"/>
            <w:tcMar>
              <w:top w:type="dxa" w:w="80"/>
              <w:left w:type="dxa" w:w="100"/>
              <w:bottom w:type="dxa" w:w="80"/>
              <w:right w:type="dxa" w:w="100"/>
            </w:tcMar>
            <w:vAlign w:val="center"/>
          </w:tcPr>
          <w:p>
            <w:r>
              <w:rPr>
                <w:b/>
                <w:bCs/>
                <w:color w:val="FFFFFF"/>
                <w:sz w:val="19"/>
                <w:szCs w:val="19"/>
              </w:rPr>
              <w:t xml:space="preserve">Model</w:t>
            </w:r>
          </w:p>
        </w:tc>
        <w:tc>
          <w:tcPr>
            <w:tcW w:type="dxa" w:w="6600"/>
            <w:shd w:fill="1f3b57" w:val="clear"/>
            <w:tcMar>
              <w:top w:type="dxa" w:w="80"/>
              <w:left w:type="dxa" w:w="100"/>
              <w:bottom w:type="dxa" w:w="80"/>
              <w:right w:type="dxa" w:w="100"/>
            </w:tcMar>
            <w:vAlign w:val="center"/>
          </w:tcPr>
          <w:p>
            <w:r>
              <w:rPr>
                <w:b/>
                <w:bCs/>
                <w:color w:val="FFFFFF"/>
                <w:sz w:val="19"/>
                <w:szCs w:val="19"/>
              </w:rPr>
              <w:t xml:space="preserve">Evaluation</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Free + donations</w:t>
            </w:r>
          </w:p>
        </w:tc>
        <w:tc>
          <w:tcPr>
            <w:tcW w:type="dxa" w:w="6600"/>
            <w:tcMar>
              <w:top w:type="dxa" w:w="80"/>
              <w:left w:type="dxa" w:w="100"/>
              <w:bottom w:type="dxa" w:w="80"/>
              <w:right w:type="dxa" w:w="100"/>
            </w:tcMar>
            <w:vAlign w:val="center"/>
          </w:tcPr>
          <w:p>
            <w:r>
              <w:rPr>
                <w:b w:val="false"/>
                <w:bCs w:val="false"/>
                <w:color w:val="222222"/>
                <w:sz w:val="19"/>
                <w:szCs w:val="19"/>
              </w:rPr>
              <w:t xml:space="preserve">Matches the norm across nearly every direct competitor (most are nonprofit/donation-funded) and lowest-friction for trust-building on religious content. Should be the launch posture, not the end-state — donation revenue alone is unlikely to fund Phases 2–5.</w:t>
            </w:r>
          </w:p>
        </w:tc>
      </w:tr>
      <w:tr>
        <w:tc>
          <w:tcPr>
            <w:tcW w:type="dxa" w:w="2600"/>
            <w:shd w:fill="F2ECDF" w:val="clear"/>
            <w:tcMar>
              <w:top w:type="dxa" w:w="80"/>
              <w:left w:type="dxa" w:w="100"/>
              <w:bottom w:type="dxa" w:w="80"/>
              <w:right w:type="dxa" w:w="100"/>
            </w:tcMar>
            <w:vAlign w:val="center"/>
          </w:tcPr>
          <w:p>
            <w:r>
              <w:rPr>
                <w:b w:val="false"/>
                <w:bCs w:val="false"/>
                <w:color w:val="222222"/>
                <w:sz w:val="19"/>
                <w:szCs w:val="19"/>
              </w:rPr>
              <w:t xml:space="preserve">Premium features (freemium)</w:t>
            </w:r>
          </w:p>
        </w:tc>
        <w:tc>
          <w:tcPr>
            <w:tcW w:type="dxa" w:w="6600"/>
            <w:shd w:fill="F2ECDF" w:val="clear"/>
            <w:tcMar>
              <w:top w:type="dxa" w:w="80"/>
              <w:left w:type="dxa" w:w="100"/>
              <w:bottom w:type="dxa" w:w="80"/>
              <w:right w:type="dxa" w:w="100"/>
            </w:tcMar>
            <w:vAlign w:val="center"/>
          </w:tcPr>
          <w:p>
            <w:r>
              <w:rPr>
                <w:b w:val="false"/>
                <w:bCs w:val="false"/>
                <w:color w:val="222222"/>
                <w:sz w:val="19"/>
                <w:szCs w:val="19"/>
              </w:rPr>
              <w:t xml:space="preserve">Ethically safer to gate on convenience/depth (offline access, advanced knowledge-graph exploration, printable teacher packs, ad-free) than on core religious content itself — never paywall a companion's story or a Quranic connection behind a subscription. Reasonable Phase 2+ addition once there's a clear power-user segment (Hamza/Dr. Layla personas).</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School / Islamic-school licensing (B2B)</w:t>
            </w:r>
          </w:p>
        </w:tc>
        <w:tc>
          <w:tcPr>
            <w:tcW w:type="dxa" w:w="6600"/>
            <w:tcMar>
              <w:top w:type="dxa" w:w="80"/>
              <w:left w:type="dxa" w:w="100"/>
              <w:bottom w:type="dxa" w:w="80"/>
              <w:right w:type="dxa" w:w="100"/>
            </w:tcMar>
            <w:vAlign w:val="center"/>
          </w:tcPr>
          <w:p>
            <w:r>
              <w:rPr>
                <w:b w:val="false"/>
                <w:bCs w:val="false"/>
                <w:color w:val="222222"/>
                <w:sz w:val="19"/>
                <w:szCs w:val="19"/>
              </w:rPr>
              <w:t xml:space="preserve">Strong long-term fit — Amira's persona represents a real institutional buying pattern (curriculum tools), and this is where SirahMaps and Sirah Quest already have commercial traction to validate demand. Recommend piloting in Q4 (Section 11) with 2–3 schools before building a full sales motion.</w:t>
            </w:r>
          </w:p>
        </w:tc>
      </w:tr>
      <w:tr>
        <w:tc>
          <w:tcPr>
            <w:tcW w:type="dxa" w:w="2600"/>
            <w:shd w:fill="F2ECDF" w:val="clear"/>
            <w:tcMar>
              <w:top w:type="dxa" w:w="80"/>
              <w:left w:type="dxa" w:w="100"/>
              <w:bottom w:type="dxa" w:w="80"/>
              <w:right w:type="dxa" w:w="100"/>
            </w:tcMar>
            <w:vAlign w:val="center"/>
          </w:tcPr>
          <w:p>
            <w:r>
              <w:rPr>
                <w:b w:val="false"/>
                <w:bCs w:val="false"/>
                <w:color w:val="222222"/>
                <w:sz w:val="19"/>
                <w:szCs w:val="19"/>
              </w:rPr>
              <w:t xml:space="preserve">Mosque / organization licensing</w:t>
            </w:r>
          </w:p>
        </w:tc>
        <w:tc>
          <w:tcPr>
            <w:tcW w:type="dxa" w:w="6600"/>
            <w:shd w:fill="F2ECDF" w:val="clear"/>
            <w:tcMar>
              <w:top w:type="dxa" w:w="80"/>
              <w:left w:type="dxa" w:w="100"/>
              <w:bottom w:type="dxa" w:w="80"/>
              <w:right w:type="dxa" w:w="100"/>
            </w:tcMar>
            <w:vAlign w:val="center"/>
          </w:tcPr>
          <w:p>
            <w:r>
              <w:rPr>
                <w:b w:val="false"/>
                <w:bCs w:val="false"/>
                <w:color w:val="222222"/>
                <w:sz w:val="19"/>
                <w:szCs w:val="19"/>
              </w:rPr>
              <w:t xml:space="preserve">Similar logic to school licensing — mosques running weekend programs are a natural bulk-account buyer; bundle with teacher tools (Journey B, Section 3.2).</w:t>
            </w:r>
          </w:p>
        </w:tc>
      </w:tr>
      <w:tr>
        <w:tc>
          <w:tcPr>
            <w:tcW w:type="dxa" w:w="2600"/>
            <w:tcMar>
              <w:top w:type="dxa" w:w="80"/>
              <w:left w:type="dxa" w:w="100"/>
              <w:bottom w:type="dxa" w:w="80"/>
              <w:right w:type="dxa" w:w="100"/>
            </w:tcMar>
            <w:vAlign w:val="center"/>
          </w:tcPr>
          <w:p>
            <w:r>
              <w:rPr>
                <w:b w:val="false"/>
                <w:bCs w:val="false"/>
                <w:color w:val="222222"/>
                <w:sz w:val="19"/>
                <w:szCs w:val="19"/>
              </w:rPr>
              <w:t xml:space="preserve">Grants / waqf-style endowment funding</w:t>
            </w:r>
          </w:p>
        </w:tc>
        <w:tc>
          <w:tcPr>
            <w:tcW w:type="dxa" w:w="6600"/>
            <w:tcMar>
              <w:top w:type="dxa" w:w="80"/>
              <w:left w:type="dxa" w:w="100"/>
              <w:bottom w:type="dxa" w:w="80"/>
              <w:right w:type="dxa" w:w="100"/>
            </w:tcMar>
            <w:vAlign w:val="center"/>
          </w:tcPr>
          <w:p>
            <w:r>
              <w:rPr>
                <w:b w:val="false"/>
                <w:bCs w:val="false"/>
                <w:color w:val="222222"/>
                <w:sz w:val="19"/>
                <w:szCs w:val="19"/>
              </w:rPr>
              <w:t xml:space="preserve">Culturally well-matched to Islamic educational causes and worth pursuing in parallel with the above (Yaqeen Institute and similar nonprofits demonstrate this model's viability at scale), but slow-moving as a primary channel — treat as supplementary, not load-bearing, for the first 12 months.</w:t>
            </w:r>
          </w:p>
        </w:tc>
      </w:tr>
    </w:tbl>
    <w:p>
      <w:pPr>
        <w:spacing w:after="140" w:line="300"/>
      </w:pPr>
      <w:r>
        <w:rPr>
          <w:b w:val="false"/>
          <w:bCs w:val="false"/>
          <w:i w:val="false"/>
          <w:iCs w:val="false"/>
        </w:rPr>
        <w:t xml:space="preserve">Recommended sequencing: launch free + donations to build trust and audience (consistent with how every close competitor operates); introduce non-core premium features once usage data identifies real power users; pilot institutional licensing in Q4 as the primary path to sustainable revenue by Year 2, supplemented opportunistically by grants.</w:t>
      </w:r>
    </w:p>
    <w:p>
      <w:pPr>
        <w:pStyle w:val="Heading1"/>
        <w:pageBreakBefore/>
        <w:spacing w:after="160" w:before="200"/>
      </w:pPr>
      <w:r>
        <w:t xml:space="preserve">15. Visual &amp; UX Design Guidelines</w:t>
      </w:r>
    </w:p>
    <w:p>
      <w:pPr>
        <w:spacing w:after="140" w:line="300"/>
      </w:pPr>
      <w:r>
        <w:rPr>
          <w:b w:val="false"/>
          <w:bCs w:val="false"/>
          <w:i w:val="false"/>
          <w:iCs w:val="false"/>
        </w:rPr>
        <w:t xml:space="preserve">The hard constraint — no depiction of any prophet, and no figurative depiction of companions in ways that could read as devotional imagery — is treated here as a creative brief, not just a restriction. The visual language leans entirely on non-figurative and environmental elements:</w:t>
      </w:r>
    </w:p>
    <w:p>
      <w:pPr>
        <w:pStyle w:val="ListParagraph"/>
        <w:numPr>
          <w:ilvl w:val="0"/>
          <w:numId w:val="2"/>
        </w:numPr>
        <w:spacing w:after="70" w:line="280"/>
      </w:pPr>
      <w:r>
        <w:t xml:space="preserve">Geography and cartography — stylized historical maps, elevation-shaded terrain, caravan/migration routes as animated line paths (used for the Hijrah route, trade routes, military marches).</w:t>
      </w:r>
    </w:p>
    <w:p>
      <w:pPr>
        <w:pStyle w:val="ListParagraph"/>
        <w:numPr>
          <w:ilvl w:val="0"/>
          <w:numId w:val="2"/>
        </w:numPr>
        <w:spacing w:after="70" w:line="280"/>
      </w:pPr>
      <w:r>
        <w:t xml:space="preserve">Architecture and landscape — reconstructed environments (the Kaaba precinct, Madinah's oasis geography, mountain passes at Uhud and the Trench) shown as places, never populated with recognizable figures.</w:t>
      </w:r>
    </w:p>
    <w:p>
      <w:pPr>
        <w:pStyle w:val="ListParagraph"/>
        <w:numPr>
          <w:ilvl w:val="0"/>
          <w:numId w:val="2"/>
        </w:numPr>
        <w:spacing w:after="70" w:line="280"/>
      </w:pPr>
      <w:r>
        <w:t xml:space="preserve">Battle formations as diagrams, not scenes — troop positions, terrain advantage, and tactical movement shown the way a museum infographic or war-college diagram would, using icons/blocks rather than illustrated soldiers.</w:t>
      </w:r>
    </w:p>
    <w:p>
      <w:pPr>
        <w:pStyle w:val="ListParagraph"/>
        <w:numPr>
          <w:ilvl w:val="0"/>
          <w:numId w:val="2"/>
        </w:numPr>
        <w:spacing w:after="70" w:line="280"/>
      </w:pPr>
      <w:r>
        <w:t xml:space="preserve">Calligraphy and geometric/arabesque pattern work — the same visual vocabulary Islamic art has used for centuries specifically because it does not depict living beings; used for section dividers, verse callouts, and decorative framing rather than default web UI chrome.</w:t>
      </w:r>
    </w:p>
    <w:p>
      <w:pPr>
        <w:pStyle w:val="ListParagraph"/>
        <w:numPr>
          <w:ilvl w:val="0"/>
          <w:numId w:val="2"/>
        </w:numPr>
        <w:spacing w:after="70" w:line="280"/>
      </w:pPr>
      <w:r>
        <w:t xml:space="preserve">Timeline as a flowing path or river metaphor — reinforcing the “chronology and connection” thesis visually, not just functionally.</w:t>
      </w:r>
    </w:p>
    <w:p>
      <w:pPr>
        <w:pStyle w:val="ListParagraph"/>
        <w:numPr>
          <w:ilvl w:val="0"/>
          <w:numId w:val="2"/>
        </w:numPr>
        <w:spacing w:after="70" w:line="280"/>
      </w:pPr>
      <w:r>
        <w:t xml:space="preserve">Knowledge-graph styling (Figure 2, Section 5.2) — nodes and edges rendered with the same restrained palette (deep navy, muted gold, olive green) rather than default bright graph-tool colors, so it reads as scholarly rather than gimmicky.</w:t>
      </w:r>
    </w:p>
    <w:p>
      <w:pPr>
        <w:spacing w:after="140" w:line="300"/>
      </w:pPr>
      <w:r>
        <w:rPr>
          <w:b w:val="false"/>
          <w:bCs w:val="false"/>
          <w:i w:val="false"/>
          <w:iCs w:val="false"/>
        </w:rPr>
        <w:t xml:space="preserve">Color and tone: an earthy, manuscript-inspired palette (deep navy, aged gold, muted terracotta, sand) rather than the saturated, app-icon-bright palette common in mass-market Islamic apps — signaling scholarly seriousness to personas like Dr. Layla while remaining warm and approachable for Yusuf and Amira's classroom use.</w:t>
      </w:r>
    </w:p>
    <w:p>
      <w:pPr>
        <w:pStyle w:val="Heading1"/>
        <w:pageBreakBefore/>
        <w:spacing w:after="160" w:before="200"/>
      </w:pPr>
      <w:r>
        <w:t xml:space="preserve">16. Expansion Vision — Phases 2–5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000"/>
        <w:gridCol w:w="2000"/>
      </w:tblGrid>
      <w:tr>
        <w:trPr>
          <w:tblHeader/>
        </w:trPr>
        <w:tc>
          <w:tcPr>
            <w:tcW w:type="dxa" w:w="1600"/>
            <w:shd w:fill="1f3b57" w:val="clear"/>
            <w:tcMar>
              <w:top w:type="dxa" w:w="80"/>
              <w:left w:type="dxa" w:w="100"/>
              <w:bottom w:type="dxa" w:w="80"/>
              <w:right w:type="dxa" w:w="100"/>
            </w:tcMar>
            <w:vAlign w:val="center"/>
          </w:tcPr>
          <w:p>
            <w:r>
              <w:rPr>
                <w:b/>
                <w:bCs/>
                <w:color w:val="FFFFFF"/>
                <w:sz w:val="19"/>
                <w:szCs w:val="19"/>
              </w:rPr>
              <w:t xml:space="preserve">Phase</w:t>
            </w:r>
          </w:p>
        </w:tc>
        <w:tc>
          <w:tcPr>
            <w:tcW w:type="dxa" w:w="2600"/>
            <w:shd w:fill="1f3b57" w:val="clear"/>
            <w:tcMar>
              <w:top w:type="dxa" w:w="80"/>
              <w:left w:type="dxa" w:w="100"/>
              <w:bottom w:type="dxa" w:w="80"/>
              <w:right w:type="dxa" w:w="100"/>
            </w:tcMar>
            <w:vAlign w:val="center"/>
          </w:tcPr>
          <w:p>
            <w:r>
              <w:rPr>
                <w:b/>
                <w:bCs/>
                <w:color w:val="FFFFFF"/>
                <w:sz w:val="19"/>
                <w:szCs w:val="19"/>
              </w:rPr>
              <w:t xml:space="preserve">Goal</w:t>
            </w:r>
          </w:p>
        </w:tc>
        <w:tc>
          <w:tcPr>
            <w:tcW w:type="dxa" w:w="3000"/>
            <w:shd w:fill="1f3b57" w:val="clear"/>
            <w:tcMar>
              <w:top w:type="dxa" w:w="80"/>
              <w:left w:type="dxa" w:w="100"/>
              <w:bottom w:type="dxa" w:w="80"/>
              <w:right w:type="dxa" w:w="100"/>
            </w:tcMar>
            <w:vAlign w:val="center"/>
          </w:tcPr>
          <w:p>
            <w:r>
              <w:rPr>
                <w:b/>
                <w:bCs/>
                <w:color w:val="FFFFFF"/>
                <w:sz w:val="19"/>
                <w:szCs w:val="19"/>
              </w:rPr>
              <w:t xml:space="preserve">Key additions</w:t>
            </w:r>
          </w:p>
        </w:tc>
        <w:tc>
          <w:tcPr>
            <w:tcW w:type="dxa" w:w="2000"/>
            <w:shd w:fill="1f3b57" w:val="clear"/>
            <w:tcMar>
              <w:top w:type="dxa" w:w="80"/>
              <w:left w:type="dxa" w:w="100"/>
              <w:bottom w:type="dxa" w:w="80"/>
              <w:right w:type="dxa" w:w="100"/>
            </w:tcMar>
            <w:vAlign w:val="center"/>
          </w:tcPr>
          <w:p>
            <w:r>
              <w:rPr>
                <w:b/>
                <w:bCs/>
                <w:color w:val="FFFFFF"/>
                <w:sz w:val="19"/>
                <w:szCs w:val="19"/>
              </w:rPr>
              <w:t xml:space="preserve">Data needs</w:t>
            </w:r>
          </w:p>
        </w:tc>
      </w:tr>
      <w:tr>
        <w:tc>
          <w:tcPr>
            <w:tcW w:type="dxa" w:w="1600"/>
            <w:tcMar>
              <w:top w:type="dxa" w:w="80"/>
              <w:left w:type="dxa" w:w="100"/>
              <w:bottom w:type="dxa" w:w="80"/>
              <w:right w:type="dxa" w:w="100"/>
            </w:tcMar>
            <w:vAlign w:val="center"/>
          </w:tcPr>
          <w:p>
            <w:r>
              <w:rPr>
                <w:b w:val="false"/>
                <w:bCs w:val="false"/>
                <w:color w:val="222222"/>
                <w:sz w:val="19"/>
                <w:szCs w:val="19"/>
              </w:rPr>
              <w:t xml:space="preserve">2 — Companion Timeline</w:t>
            </w:r>
          </w:p>
        </w:tc>
        <w:tc>
          <w:tcPr>
            <w:tcW w:type="dxa" w:w="2600"/>
            <w:tcMar>
              <w:top w:type="dxa" w:w="80"/>
              <w:left w:type="dxa" w:w="100"/>
              <w:bottom w:type="dxa" w:w="80"/>
              <w:right w:type="dxa" w:w="100"/>
            </w:tcMar>
            <w:vAlign w:val="center"/>
          </w:tcPr>
          <w:p>
            <w:r>
              <w:rPr>
                <w:b w:val="false"/>
                <w:bCs w:val="false"/>
                <w:color w:val="222222"/>
                <w:sz w:val="19"/>
                <w:szCs w:val="19"/>
              </w:rPr>
              <w:t xml:space="preserve">Give major companions (Abu Bakr, Umar, Uthman, Ali, Khalid ibn al-Walid, Aisha, and others) their own explorable timelines, cross-linked into every Phase 1 event they touched</w:t>
            </w:r>
          </w:p>
        </w:tc>
        <w:tc>
          <w:tcPr>
            <w:tcW w:type="dxa" w:w="3000"/>
            <w:tcMar>
              <w:top w:type="dxa" w:w="80"/>
              <w:left w:type="dxa" w:w="100"/>
              <w:bottom w:type="dxa" w:w="80"/>
              <w:right w:type="dxa" w:w="100"/>
            </w:tcMar>
            <w:vAlign w:val="center"/>
          </w:tcPr>
          <w:p>
            <w:r>
              <w:rPr>
                <w:b w:val="false"/>
                <w:bCs w:val="false"/>
                <w:color w:val="222222"/>
                <w:sz w:val="19"/>
                <w:szCs w:val="19"/>
              </w:rPr>
              <w:t xml:space="preserve">Full Person profiles; per-companion timeline view reusing the Section 4.2 zoom model</w:t>
            </w:r>
          </w:p>
        </w:tc>
        <w:tc>
          <w:tcPr>
            <w:tcW w:type="dxa" w:w="2000"/>
            <w:tcMar>
              <w:top w:type="dxa" w:w="80"/>
              <w:left w:type="dxa" w:w="100"/>
              <w:bottom w:type="dxa" w:w="80"/>
              <w:right w:type="dxa" w:w="100"/>
            </w:tcMar>
            <w:vAlign w:val="center"/>
          </w:tcPr>
          <w:p>
            <w:r>
              <w:rPr>
                <w:b w:val="false"/>
                <w:bCs w:val="false"/>
                <w:color w:val="222222"/>
                <w:sz w:val="19"/>
                <w:szCs w:val="19"/>
              </w:rPr>
              <w:t xml:space="preserve">Biographical research per companion, same citation/certainty model as Section 5.4</w:t>
            </w:r>
          </w:p>
        </w:tc>
      </w:tr>
      <w:tr>
        <w:tc>
          <w:tcPr>
            <w:tcW w:type="dxa" w:w="1600"/>
            <w:shd w:fill="F2ECDF" w:val="clear"/>
            <w:tcMar>
              <w:top w:type="dxa" w:w="80"/>
              <w:left w:type="dxa" w:w="100"/>
              <w:bottom w:type="dxa" w:w="80"/>
              <w:right w:type="dxa" w:w="100"/>
            </w:tcMar>
            <w:vAlign w:val="center"/>
          </w:tcPr>
          <w:p>
            <w:r>
              <w:rPr>
                <w:b w:val="false"/>
                <w:bCs w:val="false"/>
                <w:color w:val="222222"/>
                <w:sz w:val="19"/>
                <w:szCs w:val="19"/>
              </w:rPr>
              <w:t xml:space="preserve">3 — Prophet Stories Timeline</w:t>
            </w:r>
          </w:p>
        </w:tc>
        <w:tc>
          <w:tcPr>
            <w:tcW w:type="dxa" w:w="2600"/>
            <w:shd w:fill="F2ECDF" w:val="clear"/>
            <w:tcMar>
              <w:top w:type="dxa" w:w="80"/>
              <w:left w:type="dxa" w:w="100"/>
              <w:bottom w:type="dxa" w:w="80"/>
              <w:right w:type="dxa" w:w="100"/>
            </w:tcMar>
            <w:vAlign w:val="center"/>
          </w:tcPr>
          <w:p>
            <w:r>
              <w:rPr>
                <w:b w:val="false"/>
                <w:bCs w:val="false"/>
                <w:color w:val="222222"/>
                <w:sz w:val="19"/>
                <w:szCs w:val="19"/>
              </w:rPr>
              <w:t xml:space="preserve">Extend the same model to the Quranic prophets (Adam, Nuh, Ibrahim, Musa, Yusuf, Isa, and others)</w:t>
            </w:r>
          </w:p>
        </w:tc>
        <w:tc>
          <w:tcPr>
            <w:tcW w:type="dxa" w:w="3000"/>
            <w:shd w:fill="F2ECDF" w:val="clear"/>
            <w:tcMar>
              <w:top w:type="dxa" w:w="80"/>
              <w:left w:type="dxa" w:w="100"/>
              <w:bottom w:type="dxa" w:w="80"/>
              <w:right w:type="dxa" w:w="100"/>
            </w:tcMar>
            <w:vAlign w:val="center"/>
          </w:tcPr>
          <w:p>
            <w:r>
              <w:rPr>
                <w:b w:val="false"/>
                <w:bCs w:val="false"/>
                <w:color w:val="222222"/>
                <w:sz w:val="19"/>
                <w:szCs w:val="19"/>
              </w:rPr>
              <w:t xml:space="preserve">New Event/Person clusters per prophet; explicit handling of pre-historical/non-precisely-dated events (certainty_level becomes essential here, not optional)</w:t>
            </w:r>
          </w:p>
        </w:tc>
        <w:tc>
          <w:tcPr>
            <w:tcW w:type="dxa" w:w="2000"/>
            <w:shd w:fill="F2ECDF" w:val="clear"/>
            <w:tcMar>
              <w:top w:type="dxa" w:w="80"/>
              <w:left w:type="dxa" w:w="100"/>
              <w:bottom w:type="dxa" w:w="80"/>
              <w:right w:type="dxa" w:w="100"/>
            </w:tcMar>
            <w:vAlign w:val="center"/>
          </w:tcPr>
          <w:p>
            <w:r>
              <w:rPr>
                <w:b w:val="false"/>
                <w:bCs w:val="false"/>
                <w:color w:val="222222"/>
                <w:sz w:val="19"/>
                <w:szCs w:val="19"/>
              </w:rPr>
              <w:t xml:space="preserve">Tafsir and Qisas al-Anbiya (Stories of the Prophets) literature; heavier reliance on the certainty-tagging model since chronology is far less precise than the Seerah</w:t>
            </w:r>
          </w:p>
        </w:tc>
      </w:tr>
      <w:tr>
        <w:tc>
          <w:tcPr>
            <w:tcW w:type="dxa" w:w="1600"/>
            <w:tcMar>
              <w:top w:type="dxa" w:w="80"/>
              <w:left w:type="dxa" w:w="100"/>
              <w:bottom w:type="dxa" w:w="80"/>
              <w:right w:type="dxa" w:w="100"/>
            </w:tcMar>
            <w:vAlign w:val="center"/>
          </w:tcPr>
          <w:p>
            <w:r>
              <w:rPr>
                <w:b w:val="false"/>
                <w:bCs w:val="false"/>
                <w:color w:val="222222"/>
                <w:sz w:val="19"/>
                <w:szCs w:val="19"/>
              </w:rPr>
              <w:t xml:space="preserve">4 — Quran Event Explorer</w:t>
            </w:r>
          </w:p>
        </w:tc>
        <w:tc>
          <w:tcPr>
            <w:tcW w:type="dxa" w:w="2600"/>
            <w:tcMar>
              <w:top w:type="dxa" w:w="80"/>
              <w:left w:type="dxa" w:w="100"/>
              <w:bottom w:type="dxa" w:w="80"/>
              <w:right w:type="dxa" w:w="100"/>
            </w:tcMar>
            <w:vAlign w:val="center"/>
          </w:tcPr>
          <w:p>
            <w:r>
              <w:rPr>
                <w:b w:val="false"/>
                <w:bCs w:val="false"/>
                <w:color w:val="222222"/>
                <w:sz w:val="19"/>
                <w:szCs w:val="19"/>
              </w:rPr>
              <w:t xml:space="preserve">Thematic exploration of major Quranic events/narratives (People of the Cave, Dhul-Qarnayn, Pharaoh, Aad, Thamud, Owners of the Elephant)</w:t>
            </w:r>
          </w:p>
        </w:tc>
        <w:tc>
          <w:tcPr>
            <w:tcW w:type="dxa" w:w="3000"/>
            <w:tcMar>
              <w:top w:type="dxa" w:w="80"/>
              <w:left w:type="dxa" w:w="100"/>
              <w:bottom w:type="dxa" w:w="80"/>
              <w:right w:type="dxa" w:w="100"/>
            </w:tcMar>
            <w:vAlign w:val="center"/>
          </w:tcPr>
          <w:p>
            <w:r>
              <w:rPr>
                <w:b w:val="false"/>
                <w:bCs w:val="false"/>
                <w:color w:val="222222"/>
                <w:sz w:val="19"/>
                <w:szCs w:val="19"/>
              </w:rPr>
              <w:t xml:space="preserve">A thematic/topical browsing mode alongside the chronological one, since many of these events aren't precisely datable</w:t>
            </w:r>
          </w:p>
        </w:tc>
        <w:tc>
          <w:tcPr>
            <w:tcW w:type="dxa" w:w="2000"/>
            <w:tcMar>
              <w:top w:type="dxa" w:w="80"/>
              <w:left w:type="dxa" w:w="100"/>
              <w:bottom w:type="dxa" w:w="80"/>
              <w:right w:type="dxa" w:w="100"/>
            </w:tcMar>
            <w:vAlign w:val="center"/>
          </w:tcPr>
          <w:p>
            <w:r>
              <w:rPr>
                <w:b w:val="false"/>
                <w:bCs w:val="false"/>
                <w:color w:val="222222"/>
                <w:sz w:val="19"/>
                <w:szCs w:val="19"/>
              </w:rPr>
              <w:t xml:space="preserve">Deepened tafsir integration; likely where the Elasticsearch upgrade (Section 5.3) becomes necessary given verse-level search volume</w:t>
            </w:r>
          </w:p>
        </w:tc>
      </w:tr>
      <w:tr>
        <w:tc>
          <w:tcPr>
            <w:tcW w:type="dxa" w:w="1600"/>
            <w:shd w:fill="F2ECDF" w:val="clear"/>
            <w:tcMar>
              <w:top w:type="dxa" w:w="80"/>
              <w:left w:type="dxa" w:w="100"/>
              <w:bottom w:type="dxa" w:w="80"/>
              <w:right w:type="dxa" w:w="100"/>
            </w:tcMar>
            <w:vAlign w:val="center"/>
          </w:tcPr>
          <w:p>
            <w:r>
              <w:rPr>
                <w:b w:val="false"/>
                <w:bCs w:val="false"/>
                <w:color w:val="222222"/>
                <w:sz w:val="19"/>
                <w:szCs w:val="19"/>
              </w:rPr>
              <w:t xml:space="preserve">5 — Unified Islamic History Graph</w:t>
            </w:r>
          </w:p>
        </w:tc>
        <w:tc>
          <w:tcPr>
            <w:tcW w:type="dxa" w:w="2600"/>
            <w:shd w:fill="F2ECDF" w:val="clear"/>
            <w:tcMar>
              <w:top w:type="dxa" w:w="80"/>
              <w:left w:type="dxa" w:w="100"/>
              <w:bottom w:type="dxa" w:w="80"/>
              <w:right w:type="dxa" w:w="100"/>
            </w:tcMar>
            <w:vAlign w:val="center"/>
          </w:tcPr>
          <w:p>
            <w:r>
              <w:rPr>
                <w:b w:val="false"/>
                <w:bCs w:val="false"/>
                <w:color w:val="222222"/>
                <w:sz w:val="19"/>
                <w:szCs w:val="19"/>
              </w:rPr>
              <w:t xml:space="preserve">One connected graph across prophets, companions, events, places, verses, hadith, and periods</w:t>
            </w:r>
          </w:p>
        </w:tc>
        <w:tc>
          <w:tcPr>
            <w:tcW w:type="dxa" w:w="3000"/>
            <w:shd w:fill="F2ECDF" w:val="clear"/>
            <w:tcMar>
              <w:top w:type="dxa" w:w="80"/>
              <w:left w:type="dxa" w:w="100"/>
              <w:bottom w:type="dxa" w:w="80"/>
              <w:right w:type="dxa" w:w="100"/>
            </w:tcMar>
            <w:vAlign w:val="center"/>
          </w:tcPr>
          <w:p>
            <w:r>
              <w:rPr>
                <w:b w:val="false"/>
                <w:bCs w:val="false"/>
                <w:color w:val="222222"/>
                <w:sz w:val="19"/>
                <w:szCs w:val="19"/>
              </w:rPr>
              <w:t xml:space="preserve">The open graph canvas UI (Figure 2 made fully interactive and explorable, not just a fixed illustration); Neo4j promoted from background sync to a user-facing query layer</w:t>
            </w:r>
          </w:p>
        </w:tc>
        <w:tc>
          <w:tcPr>
            <w:tcW w:type="dxa" w:w="2000"/>
            <w:shd w:fill="F2ECDF" w:val="clear"/>
            <w:tcMar>
              <w:top w:type="dxa" w:w="80"/>
              <w:left w:type="dxa" w:w="100"/>
              <w:bottom w:type="dxa" w:w="80"/>
              <w:right w:type="dxa" w:w="100"/>
            </w:tcMar>
            <w:vAlign w:val="center"/>
          </w:tcPr>
          <w:p>
            <w:r>
              <w:rPr>
                <w:b w:val="false"/>
                <w:bCs w:val="false"/>
                <w:color w:val="222222"/>
                <w:sz w:val="19"/>
                <w:szCs w:val="19"/>
              </w:rPr>
              <w:t xml:space="preserve">No new data category — this phase is primarily a UI and graph-serving-infrastructure milestone, validating that the Section 5 schema was built correctly from day one</w:t>
            </w:r>
          </w:p>
        </w:tc>
      </w:tr>
    </w:tbl>
    <w:p>
      <w:pPr>
        <w:pStyle w:val="Heading1"/>
        <w:pageBreakBefore/>
        <w:spacing w:after="160" w:before="200"/>
      </w:pPr>
      <w:r>
        <w:t xml:space="preserve">17. Appendix — Team Perspectives</w:t>
      </w:r>
    </w:p>
    <w:p>
      <w:pPr>
        <w:spacing w:after="140" w:line="300"/>
      </w:pPr>
      <w:r>
        <w:rPr>
          <w:b w:val="false"/>
          <w:bCs w:val="false"/>
          <w:i w:val="false"/>
          <w:iCs w:val="false"/>
        </w:rPr>
        <w:t xml:space="preserve">Short closing notes from each analytical role represented in this document.</w:t>
      </w:r>
    </w:p>
    <w:p>
      <w:pPr>
        <w:pStyle w:val="Heading3"/>
        <w:spacing w:after="80" w:before="180"/>
      </w:pPr>
      <w:r>
        <w:t xml:space="preserve">Senior Product Manager</w:t>
      </w:r>
    </w:p>
    <w:p>
      <w:pPr>
        <w:spacing w:after="140" w:line="300"/>
      </w:pPr>
      <w:r>
        <w:rPr>
          <w:b w:val="false"/>
          <w:bCs w:val="false"/>
          <w:i w:val="false"/>
          <w:iCs w:val="false"/>
        </w:rPr>
        <w:t xml:space="preserve">The biggest execution risk isn't the tech — it's scope discipline. Every phase-2+ idea (knowledge graph, AI chat, native apps) is genuinely good, which is exactly why it's dangerous to build before Phase 1 proves the core thesis: that connected chronology beats isolated stories. Ship the 45–60 event MVP, measure whether people actually traverse related events (Section 1.3), and let that data — not enthusiasm — greenlight Phase 2.</w:t>
      </w:r>
    </w:p>
    <w:p>
      <w:pPr>
        <w:pStyle w:val="Heading3"/>
        <w:spacing w:after="80" w:before="180"/>
      </w:pPr>
      <w:r>
        <w:t xml:space="preserve">Islamic Research Specialist</w:t>
      </w:r>
    </w:p>
    <w:p>
      <w:pPr>
        <w:spacing w:after="140" w:line="300"/>
      </w:pPr>
      <w:r>
        <w:rPr>
          <w:b w:val="false"/>
          <w:bCs w:val="false"/>
          <w:i w:val="false"/>
          <w:iCs w:val="false"/>
        </w:rPr>
        <w:t xml:space="preserve">Source quality varies more than it looks on the surface — “freely available” is not the same as “properly licensed,” and Martin Lings' book in particular needs a real legal conversation before it's touched. Budget real time for cross-referencing classical and modern sources; the asbab al-nuzul chronology work in particular has no shortcut available in the current data landscape.</w:t>
      </w:r>
    </w:p>
    <w:p>
      <w:pPr>
        <w:pStyle w:val="Heading3"/>
        <w:spacing w:after="80" w:before="180"/>
      </w:pPr>
      <w:r>
        <w:t xml:space="preserve">Seerah Scholar</w:t>
      </w:r>
    </w:p>
    <w:p>
      <w:pPr>
        <w:spacing w:after="140" w:line="300"/>
      </w:pPr>
      <w:r>
        <w:rPr>
          <w:b w:val="false"/>
          <w:bCs w:val="false"/>
          <w:i w:val="false"/>
          <w:iCs w:val="false"/>
        </w:rPr>
        <w:t xml:space="preserve">The “scholars differ” certainty tagging (Section 5.4) is not a nice-to-have, it is the feature that keeps this product honest and avoids embarrassing the platform in front of an educated audience. Resist any pressure, from engineering convenience or content velocity, to quietly resolve a genuinely contested point.</w:t>
      </w:r>
    </w:p>
    <w:p>
      <w:pPr>
        <w:pStyle w:val="Heading3"/>
        <w:spacing w:after="80" w:before="180"/>
      </w:pPr>
      <w:r>
        <w:t xml:space="preserve">UX/UI Designer</w:t>
      </w:r>
    </w:p>
    <w:p>
      <w:pPr>
        <w:spacing w:after="140" w:line="300"/>
      </w:pPr>
      <w:r>
        <w:rPr>
          <w:b w:val="false"/>
          <w:bCs w:val="false"/>
          <w:i w:val="false"/>
          <w:iCs w:val="false"/>
        </w:rPr>
        <w:t xml:space="preserve">The no-depiction constraint is a gift, not a limitation — geometric pattern, calligraphy, and cartography are a richer, more distinctive design language than another app full of generic stock illustration. Lean into it as the brand, not just the compliance requirement.</w:t>
      </w:r>
    </w:p>
    <w:p>
      <w:pPr>
        <w:pStyle w:val="Heading3"/>
        <w:spacing w:after="80" w:before="180"/>
      </w:pPr>
      <w:r>
        <w:t xml:space="preserve">Software Architect</w:t>
      </w:r>
    </w:p>
    <w:p>
      <w:pPr>
        <w:spacing w:after="140" w:line="300"/>
      </w:pPr>
      <w:r>
        <w:rPr>
          <w:b w:val="false"/>
          <w:bCs w:val="false"/>
          <w:i w:val="false"/>
          <w:iCs w:val="false"/>
        </w:rPr>
        <w:t xml:space="preserve">Resist standing up Neo4j and Elasticsearch on day one. The MVP's data volume genuinely does not need them, and running three databases before there's traffic to justify it is the single most common way small teams burn their early runway on infrastructure instead of content and users.</w:t>
      </w:r>
    </w:p>
    <w:p>
      <w:pPr>
        <w:pStyle w:val="Heading3"/>
        <w:spacing w:after="80" w:before="180"/>
      </w:pPr>
      <w:r>
        <w:t xml:space="preserve">Data Architect</w:t>
      </w:r>
    </w:p>
    <w:p>
      <w:pPr>
        <w:spacing w:after="140" w:line="300"/>
      </w:pPr>
      <w:r>
        <w:rPr>
          <w:b w:val="false"/>
          <w:bCs w:val="false"/>
          <w:i w:val="false"/>
          <w:iCs w:val="false"/>
        </w:rPr>
        <w:t xml:space="preserve">The Relationship (edge) table (Section 5.1) is what makes Phases 2–5 additive instead of a rewrite. Get that abstraction right in Phase 1 even though Phase 1's UI only uses a sliver of what it can do — the cost of underbuilding it now is a schema migration later, under load, with live data.</w:t>
      </w:r>
    </w:p>
    <w:p>
      <w:pPr>
        <w:pStyle w:val="Heading3"/>
        <w:spacing w:after="80" w:before="180"/>
      </w:pPr>
      <w:r>
        <w:t xml:space="preserve">EdTech Expert</w:t>
      </w:r>
    </w:p>
    <w:p>
      <w:pPr>
        <w:spacing w:after="140" w:line="300"/>
      </w:pPr>
      <w:r>
        <w:rPr>
          <w:b w:val="false"/>
          <w:bCs w:val="false"/>
          <w:i w:val="false"/>
          <w:iCs w:val="false"/>
        </w:rPr>
        <w:t xml:space="preserve">Static articles and even standard timelines are known to underperform for retention versus spatial, connected representations — this is well-established in the learning-sciences literature on relational/associative memory. The five-panel event view plus the related-events rail is doing real cognitive work, not just looking nice; measure retention (Section 1.3) directly rather than assuming the format guarantees the outcome.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a6d3b" w:sz="8" w:space="4"/>
      </w:pBdr>
      <w:spacing w:after="160" w:before="240"/>
    </w:pPr>
    <w:rPr>
      <w:rFonts w:ascii="Calibri" w:cs="Calibri" w:eastAsia="Calibri" w:hAnsi="Calibri"/>
      <w:b/>
      <w:bCs/>
      <w:color w:val="1f3b57"/>
      <w:sz w:val="34"/>
      <w:szCs w:val="34"/>
    </w:rPr>
  </w:style>
  <w:style w:type="paragraph" w:styleId="Heading2">
    <w:name w:val="Heading 2"/>
    <w:basedOn w:val="Normal"/>
    <w:next w:val="Normal"/>
    <w:qFormat/>
    <w:pPr>
      <w:spacing w:after="120" w:before="260"/>
    </w:pPr>
    <w:rPr>
      <w:rFonts w:ascii="Calibri" w:cs="Calibri" w:eastAsia="Calibri" w:hAnsi="Calibri"/>
      <w:b/>
      <w:bCs/>
      <w:color w:val="1f3b57"/>
      <w:sz w:val="26"/>
      <w:szCs w:val="26"/>
    </w:rPr>
  </w:style>
  <w:style w:type="paragraph" w:styleId="Heading3">
    <w:name w:val="Heading 3"/>
    <w:basedOn w:val="Normal"/>
    <w:next w:val="Normal"/>
    <w:qFormat/>
    <w:pPr>
      <w:spacing w:after="80" w:before="180"/>
    </w:pPr>
    <w:rPr>
      <w:rFonts w:ascii="Calibri" w:cs="Calibri" w:eastAsia="Calibri" w:hAnsi="Calibri"/>
      <w:b/>
      <w:bCs/>
      <w:i/>
      <w:iCs/>
      <w:color w:val="8a6d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944d13ea0ba32cb3dfc20bfc64c643060988ed.png"/><Relationship Id="rId8" Type="http://schemas.openxmlformats.org/officeDocument/2006/relationships/image" Target="media/c1110d2eedc789b06e3f49d30dbab42bdeb97c8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Seerah Timeline Platform — Product &amp; Technical Blueprint</dc:title>
  <dc:creator>Cowork Analysis Team</dc:creator>
  <cp:lastModifiedBy>Un-named</cp:lastModifiedBy>
  <cp:revision>1</cp:revision>
  <dcterms:created xsi:type="dcterms:W3CDTF">2026-07-19T14:50:10.715Z</dcterms:created>
  <dcterms:modified xsi:type="dcterms:W3CDTF">2026-07-19T14:50:10.715Z</dcterms:modified>
</cp:coreProperties>
</file>

<file path=docProps/custom.xml><?xml version="1.0" encoding="utf-8"?>
<Properties xmlns="http://schemas.openxmlformats.org/officeDocument/2006/custom-properties" xmlns:vt="http://schemas.openxmlformats.org/officeDocument/2006/docPropsVTypes"/>
</file>