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3120"/>
        <w:gridCol w:w="3120"/>
        <w:gridCol w:w="3120"/>
      </w:tblGrid>
      <w:tr>
        <w:tc>
          <w:tcPr>
            <w:tcW w:type="dxa" w:w="3120"/>
            <w:vAlign w:val="center"/>
          </w:tcPr>
          <w:p>
            <w:pPr>
              <w:jc w:val="center"/>
            </w:pPr>
            <w:r>
              <w:drawing>
                <wp:inline distT="0" distB="0" distL="0" distR="0">
                  <wp:extent cx="7429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42950" cy="676275"/>
                          </a:xfrm>
                          <a:prstGeom prst="rect">
                            <a:avLst/>
                          </a:prstGeom>
                        </pic:spPr>
                      </pic:pic>
                    </a:graphicData>
                  </a:graphic>
                </wp:inline>
              </w:drawing>
            </w:r>
          </w:p>
        </w:tc>
        <w:tc>
          <w:tcPr>
            <w:tcW w:type="dxa" w:w="3120"/>
            <w:vAlign w:val="center"/>
          </w:tcPr>
          <w:p>
            <w:pPr>
              <w:jc w:val="center"/>
            </w:pPr>
            <w:r>
              <w:drawing>
                <wp:inline distT="0" distB="0" distL="0" distR="0">
                  <wp:extent cx="14478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47800" cy="390525"/>
                          </a:xfrm>
                          <a:prstGeom prst="rect">
                            <a:avLst/>
                          </a:prstGeom>
                        </pic:spPr>
                      </pic:pic>
                    </a:graphicData>
                  </a:graphic>
                </wp:inline>
              </w:drawing>
            </w:r>
          </w:p>
        </w:tc>
        <w:tc>
          <w:tcPr>
            <w:tcW w:type="dxa" w:w="3120"/>
            <w:vAlign w:val="center"/>
          </w:tcPr>
          <w:p>
            <w:pPr>
              <w:jc w:val="center"/>
            </w:pPr>
            <w:r>
              <w:drawing>
                <wp:inline distT="0" distB="0" distL="0" distR="0">
                  <wp:extent cx="6096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590550"/>
                          </a:xfrm>
                          <a:prstGeom prst="rect">
                            <a:avLst/>
                          </a:prstGeom>
                        </pic:spPr>
                      </pic:pic>
                    </a:graphicData>
                  </a:graphic>
                </wp:inline>
              </w:drawing>
            </w:r>
          </w:p>
        </w:tc>
      </w:tr>
    </w:tbl>
    <w:p>
      <w:pPr>
        <w:pBdr>
          <w:bottom w:val="single" w:color="B08D3E" w:sz="12" w:space="1"/>
        </w:pBdr>
        <w:spacing w:after="200" w:before="120"/>
      </w:pPr>
    </w:p>
    <w:p>
      <w:pPr>
        <w:spacing w:after="40"/>
        <w:jc w:val="center"/>
      </w:pPr>
      <w:r>
        <w:rPr>
          <w:rFonts w:ascii="Cambria" w:cs="Cambria" w:eastAsia="Cambria" w:hAnsi="Cambria"/>
          <w:b/>
          <w:bCs/>
          <w:i w:val="false"/>
          <w:iCs w:val="false"/>
          <w:color w:val="13324F"/>
          <w:sz w:val="26"/>
          <w:szCs w:val="26"/>
        </w:rPr>
        <w:t xml:space="preserve">Universidad Autónoma de Zacatecas “Francisco García Salinas”</w:t>
      </w:r>
    </w:p>
    <w:p>
      <w:pPr>
        <w:spacing w:after="20"/>
        <w:jc w:val="center"/>
      </w:pPr>
      <w:r>
        <w:rPr>
          <w:rFonts w:ascii="Cambria" w:cs="Cambria" w:eastAsia="Cambria" w:hAnsi="Cambria"/>
          <w:b w:val="false"/>
          <w:bCs w:val="false"/>
          <w:i w:val="false"/>
          <w:iCs w:val="false"/>
          <w:color w:val="1E2A32"/>
          <w:sz w:val="22"/>
          <w:szCs w:val="22"/>
        </w:rPr>
        <w:t xml:space="preserve">Unidad Académica de Docencia Superior</w:t>
      </w:r>
    </w:p>
    <w:p>
      <w:pPr>
        <w:spacing w:after="60"/>
        <w:jc w:val="center"/>
      </w:pPr>
      <w:r>
        <w:rPr>
          <w:rFonts w:ascii="Cambria" w:cs="Cambria" w:eastAsia="Cambria" w:hAnsi="Cambria"/>
          <w:b w:val="false"/>
          <w:bCs w:val="false"/>
          <w:i w:val="false"/>
          <w:iCs w:val="false"/>
          <w:color w:val="1E2A32"/>
          <w:sz w:val="22"/>
          <w:szCs w:val="22"/>
        </w:rPr>
        <w:t xml:space="preserve">Maestría en Tecnología Informática Educativa</w:t>
      </w:r>
    </w:p>
    <w:p>
      <w:pPr>
        <w:spacing w:after="40" w:before="160"/>
        <w:jc w:val="center"/>
      </w:pPr>
      <w:r>
        <w:rPr>
          <w:rFonts w:ascii="Cambria" w:cs="Cambria" w:eastAsia="Cambria" w:hAnsi="Cambria"/>
          <w:b/>
          <w:bCs/>
          <w:i w:val="false"/>
          <w:iCs w:val="false"/>
          <w:color w:val="8A1A1A"/>
          <w:sz w:val="24"/>
          <w:szCs w:val="24"/>
        </w:rPr>
        <w:t xml:space="preserve">ENSAYO</w:t>
      </w:r>
    </w:p>
    <w:p>
      <w:pPr>
        <w:spacing w:after="200"/>
        <w:jc w:val="center"/>
      </w:pPr>
      <w:r>
        <w:rPr>
          <w:rFonts w:ascii="Cambria" w:cs="Cambria" w:eastAsia="Cambria" w:hAnsi="Cambria"/>
          <w:b/>
          <w:bCs/>
          <w:i w:val="false"/>
          <w:iCs w:val="false"/>
          <w:color w:val="13324F"/>
          <w:sz w:val="34"/>
          <w:szCs w:val="34"/>
        </w:rPr>
        <w:t xml:space="preserve">Clasificación de los materiales didácticos multimedia</w:t>
      </w:r>
    </w:p>
    <w:p>
      <w:pPr>
        <w:spacing w:after="60"/>
        <w:jc w:val="center"/>
      </w:pPr>
      <w:r>
        <w:rPr>
          <w:rFonts w:ascii="Times New Roman" w:cs="Times New Roman" w:eastAsia="Times New Roman" w:hAnsi="Times New Roman"/>
          <w:b/>
          <w:bCs/>
          <w:i w:val="false"/>
          <w:iCs w:val="false"/>
          <w:color w:val="1E2A32"/>
          <w:sz w:val="24"/>
          <w:szCs w:val="24"/>
        </w:rPr>
        <w:t xml:space="preserve">Materia:  </w:t>
      </w:r>
      <w:r>
        <w:rPr>
          <w:rFonts w:ascii="Times New Roman" w:cs="Times New Roman" w:eastAsia="Times New Roman" w:hAnsi="Times New Roman"/>
          <w:b w:val="false"/>
          <w:bCs w:val="false"/>
          <w:i w:val="false"/>
          <w:iCs w:val="false"/>
          <w:color w:val="1E2A32"/>
          <w:sz w:val="24"/>
          <w:szCs w:val="24"/>
        </w:rPr>
        <w:t xml:space="preserve">Multimedia para el proceso de aprendizaje</w:t>
      </w:r>
    </w:p>
    <w:p>
      <w:pPr>
        <w:spacing w:after="60"/>
        <w:jc w:val="center"/>
      </w:pPr>
      <w:r>
        <w:rPr>
          <w:rFonts w:ascii="Times New Roman" w:cs="Times New Roman" w:eastAsia="Times New Roman" w:hAnsi="Times New Roman"/>
          <w:b/>
          <w:bCs/>
          <w:i w:val="false"/>
          <w:iCs w:val="false"/>
          <w:color w:val="1E2A32"/>
          <w:sz w:val="24"/>
          <w:szCs w:val="24"/>
        </w:rPr>
        <w:t xml:space="preserve">Unidad IV</w:t>
      </w:r>
    </w:p>
    <w:p>
      <w:pPr>
        <w:spacing w:after="60"/>
        <w:jc w:val="center"/>
      </w:pPr>
      <w:r>
        <w:rPr>
          <w:rFonts w:ascii="Times New Roman" w:cs="Times New Roman" w:eastAsia="Times New Roman" w:hAnsi="Times New Roman"/>
          <w:b/>
          <w:bCs/>
          <w:i w:val="false"/>
          <w:iCs w:val="false"/>
          <w:color w:val="1E2A32"/>
          <w:sz w:val="24"/>
          <w:szCs w:val="24"/>
        </w:rPr>
        <w:t xml:space="preserve">Facilitador:  </w:t>
      </w:r>
      <w:r>
        <w:rPr>
          <w:rFonts w:ascii="Times New Roman" w:cs="Times New Roman" w:eastAsia="Times New Roman" w:hAnsi="Times New Roman"/>
          <w:b w:val="false"/>
          <w:bCs w:val="false"/>
          <w:i w:val="false"/>
          <w:iCs w:val="false"/>
          <w:color w:val="1E2A32"/>
          <w:sz w:val="24"/>
          <w:szCs w:val="24"/>
        </w:rPr>
        <w:t xml:space="preserve">Dr. Alejandro García Villalobos</w:t>
      </w:r>
    </w:p>
    <w:p>
      <w:pPr>
        <w:spacing w:after="60"/>
        <w:jc w:val="center"/>
      </w:pPr>
      <w:r>
        <w:rPr>
          <w:rFonts w:ascii="Times New Roman" w:cs="Times New Roman" w:eastAsia="Times New Roman" w:hAnsi="Times New Roman"/>
          <w:b/>
          <w:bCs/>
          <w:i w:val="false"/>
          <w:iCs w:val="false"/>
          <w:color w:val="1E2A32"/>
          <w:sz w:val="24"/>
          <w:szCs w:val="24"/>
        </w:rPr>
        <w:t xml:space="preserve">Alumna:  </w:t>
      </w:r>
      <w:r>
        <w:rPr>
          <w:rFonts w:ascii="Times New Roman" w:cs="Times New Roman" w:eastAsia="Times New Roman" w:hAnsi="Times New Roman"/>
          <w:b w:val="false"/>
          <w:bCs w:val="false"/>
          <w:i w:val="false"/>
          <w:iCs w:val="false"/>
          <w:color w:val="1E2A32"/>
          <w:sz w:val="24"/>
          <w:szCs w:val="24"/>
        </w:rPr>
        <w:t xml:space="preserve">L.N.C.A. Anakaren Ernestina Reimers Reyes</w:t>
      </w:r>
    </w:p>
    <w:p>
      <w:pPr>
        <w:spacing w:after="200"/>
        <w:jc w:val="center"/>
      </w:pPr>
      <w:r>
        <w:rPr>
          <w:rFonts w:ascii="Times New Roman" w:cs="Times New Roman" w:eastAsia="Times New Roman" w:hAnsi="Times New Roman"/>
          <w:b/>
          <w:bCs/>
          <w:i w:val="false"/>
          <w:iCs w:val="false"/>
          <w:color w:val="1E2A32"/>
          <w:sz w:val="24"/>
          <w:szCs w:val="24"/>
        </w:rPr>
        <w:t xml:space="preserve">Fecha:  </w:t>
      </w:r>
      <w:r>
        <w:rPr>
          <w:rFonts w:ascii="Times New Roman" w:cs="Times New Roman" w:eastAsia="Times New Roman" w:hAnsi="Times New Roman"/>
          <w:b w:val="false"/>
          <w:bCs w:val="false"/>
          <w:i w:val="false"/>
          <w:iCs w:val="false"/>
          <w:color w:val="1E2A32"/>
          <w:sz w:val="24"/>
          <w:szCs w:val="24"/>
        </w:rPr>
        <w:t xml:space="preserve">Septiembre 2026</w:t>
      </w:r>
    </w:p>
    <w:p>
      <w:pPr>
        <w:jc w:val="center"/>
      </w:pPr>
      <w:r>
        <w:rPr>
          <w:rFonts w:ascii="Times New Roman" w:cs="Times New Roman" w:eastAsia="Times New Roman" w:hAnsi="Times New Roman"/>
          <w:b w:val="false"/>
          <w:bCs w:val="false"/>
          <w:i/>
          <w:iCs/>
          <w:color w:val="5C6B73"/>
          <w:sz w:val="18"/>
          <w:szCs w:val="18"/>
        </w:rPr>
        <w:t xml:space="preserve">Lectura base: Marqués Graells, P. (s. f.). Multimedia educativo: clasificación de los materiales didácticos multimedia.</w:t>
      </w:r>
    </w:p>
    <w:p>
      <w:r>
        <w:br w:type="page"/>
      </w:r>
    </w:p>
    <w:p>
      <w:pPr>
        <w:spacing w:after="40"/>
        <w:jc w:val="center"/>
      </w:pPr>
      <w:r>
        <w:rPr>
          <w:rFonts w:ascii="Cambria" w:cs="Cambria" w:eastAsia="Cambria" w:hAnsi="Cambria"/>
          <w:b/>
          <w:bCs/>
          <w:i w:val="false"/>
          <w:iCs w:val="false"/>
          <w:color w:val="13324F"/>
          <w:sz w:val="30"/>
          <w:szCs w:val="30"/>
        </w:rPr>
        <w:t xml:space="preserve">Clasificación de los materiales didácticos multimedia</w:t>
      </w:r>
    </w:p>
    <w:p>
      <w:pPr>
        <w:spacing w:after="160"/>
        <w:jc w:val="center"/>
      </w:pPr>
      <w:r>
        <w:rPr>
          <w:rFonts w:ascii="Cambria" w:cs="Cambria" w:eastAsia="Cambria" w:hAnsi="Cambria"/>
          <w:b w:val="false"/>
          <w:bCs w:val="false"/>
          <w:i/>
          <w:iCs/>
          <w:color w:val="5C6B73"/>
          <w:sz w:val="22"/>
          <w:szCs w:val="22"/>
        </w:rPr>
        <w:t xml:space="preserve">Ensayo</w:t>
      </w:r>
    </w:p>
    <w:p>
      <w:pPr>
        <w:spacing w:after="80" w:before="220"/>
      </w:pPr>
      <w:r>
        <w:rPr>
          <w:rFonts w:ascii="Cambria" w:cs="Cambria" w:eastAsia="Cambria" w:hAnsi="Cambria"/>
          <w:b/>
          <w:bCs/>
          <w:i w:val="false"/>
          <w:iCs w:val="false"/>
          <w:color w:val="13324F"/>
          <w:sz w:val="26"/>
          <w:szCs w:val="26"/>
        </w:rPr>
        <w:t xml:space="preserve">Introducción</w:t>
      </w:r>
    </w:p>
    <w:p>
      <w:pPr>
        <w:spacing w:after="140" w:line="340"/>
        <w:jc w:val="both"/>
      </w:pPr>
      <w:r>
        <w:rPr>
          <w:rFonts w:ascii="Times New Roman" w:cs="Times New Roman" w:eastAsia="Times New Roman" w:hAnsi="Times New Roman"/>
          <w:b w:val="false"/>
          <w:bCs w:val="false"/>
          <w:i w:val="false"/>
          <w:iCs w:val="false"/>
          <w:color w:val="1E2A32"/>
          <w:sz w:val="24"/>
          <w:szCs w:val="24"/>
        </w:rPr>
        <w:t xml:space="preserve">Hoy es casi imposible pensar en educación sin materiales multimedia: un video, una infografía interactiva, un simulador o una simple presentación forman parte del día a día en el aula. Sin embargo, no todos los recursos multimedia son iguales ni sirven para lo mismo. La lectura </w:t>
      </w:r>
      <w:r>
        <w:rPr>
          <w:rFonts w:ascii="Times New Roman" w:cs="Times New Roman" w:eastAsia="Times New Roman" w:hAnsi="Times New Roman"/>
          <w:b w:val="false"/>
          <w:bCs w:val="false"/>
          <w:i/>
          <w:iCs/>
          <w:color w:val="1E2A32"/>
          <w:sz w:val="24"/>
          <w:szCs w:val="24"/>
        </w:rPr>
        <w:t xml:space="preserve">Clasificación de los materiales didácticos multimedia</w:t>
      </w:r>
      <w:r>
        <w:rPr>
          <w:rFonts w:ascii="Times New Roman" w:cs="Times New Roman" w:eastAsia="Times New Roman" w:hAnsi="Times New Roman"/>
          <w:b w:val="false"/>
          <w:bCs w:val="false"/>
          <w:i w:val="false"/>
          <w:iCs w:val="false"/>
          <w:color w:val="1E2A32"/>
          <w:sz w:val="24"/>
          <w:szCs w:val="24"/>
        </w:rPr>
        <w:t xml:space="preserve"> de Marqués Graells ofrece un mapa muy útil para ordenar esa variedad y, sobre todo, para entender que detrás de cada tipo de material hay una manera de concebir el aprendizaje. En este ensayo reviso dicha clasificación, la relaciono con las teorías que la sustentan y reflexiono sobre lo que implica para quienes diseñamos o elegimos recursos educativos.</w:t>
      </w:r>
    </w:p>
    <w:p>
      <w:pPr>
        <w:spacing w:after="80" w:before="220"/>
      </w:pPr>
      <w:r>
        <w:rPr>
          <w:rFonts w:ascii="Cambria" w:cs="Cambria" w:eastAsia="Cambria" w:hAnsi="Cambria"/>
          <w:b/>
          <w:bCs/>
          <w:i w:val="false"/>
          <w:iCs w:val="false"/>
          <w:color w:val="13324F"/>
          <w:sz w:val="26"/>
          <w:szCs w:val="26"/>
        </w:rPr>
        <w:t xml:space="preserve">La clasificación según su estructura</w:t>
      </w:r>
    </w:p>
    <w:p>
      <w:pPr>
        <w:spacing w:after="140" w:line="340"/>
        <w:jc w:val="both"/>
      </w:pPr>
      <w:r>
        <w:rPr>
          <w:rFonts w:ascii="Times New Roman" w:cs="Times New Roman" w:eastAsia="Times New Roman" w:hAnsi="Times New Roman"/>
          <w:b w:val="false"/>
          <w:bCs w:val="false"/>
          <w:i w:val="false"/>
          <w:iCs w:val="false"/>
          <w:color w:val="1E2A32"/>
          <w:sz w:val="24"/>
          <w:szCs w:val="24"/>
        </w:rPr>
        <w:t xml:space="preserve">El criterio principal que propone el autor es la estructura del material. Bajo esa lógica aparecen, primero, los </w:t>
      </w:r>
      <w:r>
        <w:rPr>
          <w:rFonts w:ascii="Times New Roman" w:cs="Times New Roman" w:eastAsia="Times New Roman" w:hAnsi="Times New Roman"/>
          <w:b/>
          <w:bCs/>
          <w:i w:val="false"/>
          <w:iCs w:val="false"/>
          <w:color w:val="1E2A32"/>
          <w:sz w:val="24"/>
          <w:szCs w:val="24"/>
        </w:rPr>
        <w:t xml:space="preserve">materiales formativos directos</w:t>
      </w:r>
      <w:r>
        <w:rPr>
          <w:rFonts w:ascii="Times New Roman" w:cs="Times New Roman" w:eastAsia="Times New Roman" w:hAnsi="Times New Roman"/>
          <w:b w:val="false"/>
          <w:bCs w:val="false"/>
          <w:i w:val="false"/>
          <w:iCs w:val="false"/>
          <w:color w:val="1E2A32"/>
          <w:sz w:val="24"/>
          <w:szCs w:val="24"/>
        </w:rPr>
        <w:t xml:space="preserve">, de corte más conductista: los programas de ejercitación, que plantean ejercicios autocorrectivos de refuerzo sin mucha explicación previa, y los tutoriales, que sí presentan contenidos y hasta pueden personalizar la tutoría con inteligencia artificial (los llamados tutoriales expertos). Luego están las </w:t>
      </w:r>
      <w:r>
        <w:rPr>
          <w:rFonts w:ascii="Times New Roman" w:cs="Times New Roman" w:eastAsia="Times New Roman" w:hAnsi="Times New Roman"/>
          <w:b/>
          <w:bCs/>
          <w:i w:val="false"/>
          <w:iCs w:val="false"/>
          <w:color w:val="1E2A32"/>
          <w:sz w:val="24"/>
          <w:szCs w:val="24"/>
        </w:rPr>
        <w:t xml:space="preserve">bases de datos</w:t>
      </w:r>
      <w:r>
        <w:rPr>
          <w:rFonts w:ascii="Times New Roman" w:cs="Times New Roman" w:eastAsia="Times New Roman" w:hAnsi="Times New Roman"/>
          <w:b w:val="false"/>
          <w:bCs w:val="false"/>
          <w:i w:val="false"/>
          <w:iCs w:val="false"/>
          <w:color w:val="1E2A32"/>
          <w:sz w:val="24"/>
          <w:szCs w:val="24"/>
        </w:rPr>
        <w:t xml:space="preserve">, que organizan información en entornos estáticos para consultarla y relacionarla, desde un programa tipo libro o cuento hasta bases de datos expertas que asesoran al usuario.</w:t>
      </w:r>
    </w:p>
    <w:p>
      <w:pPr>
        <w:spacing w:after="140" w:line="340"/>
        <w:jc w:val="both"/>
      </w:pPr>
      <w:r>
        <w:rPr>
          <w:rFonts w:ascii="Times New Roman" w:cs="Times New Roman" w:eastAsia="Times New Roman" w:hAnsi="Times New Roman"/>
          <w:b w:val="false"/>
          <w:bCs w:val="false"/>
          <w:i w:val="false"/>
          <w:iCs w:val="false"/>
          <w:color w:val="1E2A32"/>
          <w:sz w:val="24"/>
          <w:szCs w:val="24"/>
        </w:rPr>
        <w:t xml:space="preserve">En un terreno más activo entran los </w:t>
      </w:r>
      <w:r>
        <w:rPr>
          <w:rFonts w:ascii="Times New Roman" w:cs="Times New Roman" w:eastAsia="Times New Roman" w:hAnsi="Times New Roman"/>
          <w:b/>
          <w:bCs/>
          <w:i w:val="false"/>
          <w:iCs w:val="false"/>
          <w:color w:val="1E2A32"/>
          <w:sz w:val="24"/>
          <w:szCs w:val="24"/>
        </w:rPr>
        <w:t xml:space="preserve">simuladores</w:t>
      </w:r>
      <w:r>
        <w:rPr>
          <w:rFonts w:ascii="Times New Roman" w:cs="Times New Roman" w:eastAsia="Times New Roman" w:hAnsi="Times New Roman"/>
          <w:b w:val="false"/>
          <w:bCs w:val="false"/>
          <w:i w:val="false"/>
          <w:iCs w:val="false"/>
          <w:color w:val="1E2A32"/>
          <w:sz w:val="24"/>
          <w:szCs w:val="24"/>
        </w:rPr>
        <w:t xml:space="preserve">, que presentan modelos dinámicos e interactivos donde el estudiante aprende explorando, modificando y tomando decisiones —pilotar un avión o “viajar” en el tiempo, por ejemplo—; aquí caben los modelos físico-matemáticos y los entornos sociales, como los juegos de estrategia. Más allá todavía están los </w:t>
      </w:r>
      <w:r>
        <w:rPr>
          <w:rFonts w:ascii="Times New Roman" w:cs="Times New Roman" w:eastAsia="Times New Roman" w:hAnsi="Times New Roman"/>
          <w:b/>
          <w:bCs/>
          <w:i w:val="false"/>
          <w:iCs w:val="false"/>
          <w:color w:val="1E2A32"/>
          <w:sz w:val="24"/>
          <w:szCs w:val="24"/>
        </w:rPr>
        <w:t xml:space="preserve">constructores o talleres creativos</w:t>
      </w:r>
      <w:r>
        <w:rPr>
          <w:rFonts w:ascii="Times New Roman" w:cs="Times New Roman" w:eastAsia="Times New Roman" w:hAnsi="Times New Roman"/>
          <w:b w:val="false"/>
          <w:bCs w:val="false"/>
          <w:i w:val="false"/>
          <w:iCs w:val="false"/>
          <w:color w:val="1E2A32"/>
          <w:sz w:val="24"/>
          <w:szCs w:val="24"/>
        </w:rPr>
        <w:t xml:space="preserve">, de raíz constructivista, que casi convierten al alumno en “profesor del ordenador” e incluyen los lenguajes de programación, entre ellos el clásico LOGO de Seymour Papert. Y, por último, los </w:t>
      </w:r>
      <w:r>
        <w:rPr>
          <w:rFonts w:ascii="Times New Roman" w:cs="Times New Roman" w:eastAsia="Times New Roman" w:hAnsi="Times New Roman"/>
          <w:b/>
          <w:bCs/>
          <w:i w:val="false"/>
          <w:iCs w:val="false"/>
          <w:color w:val="1E2A32"/>
          <w:sz w:val="24"/>
          <w:szCs w:val="24"/>
        </w:rPr>
        <w:t xml:space="preserve">programas herramienta</w:t>
      </w:r>
      <w:r>
        <w:rPr>
          <w:rFonts w:ascii="Times New Roman" w:cs="Times New Roman" w:eastAsia="Times New Roman" w:hAnsi="Times New Roman"/>
          <w:b w:val="false"/>
          <w:bCs w:val="false"/>
          <w:i w:val="false"/>
          <w:iCs w:val="false"/>
          <w:color w:val="1E2A32"/>
          <w:sz w:val="24"/>
          <w:szCs w:val="24"/>
        </w:rPr>
        <w:t xml:space="preserve"> (procesadores de texto, editores gráficos, hojas de cálculo) y los sistemas de autor, que permiten a los docentes crear sus propios materiales sin ser expertos en informática. Lo interesante es que esta clasificación se mueve en un continuo: de lo más cerrado y dirigido a lo más abierto y creativo, y ese recorrido no es casual.</w:t>
      </w:r>
    </w:p>
    <w:p>
      <w:pPr>
        <w:spacing w:after="80" w:before="220"/>
      </w:pPr>
      <w:r>
        <w:rPr>
          <w:rFonts w:ascii="Cambria" w:cs="Cambria" w:eastAsia="Cambria" w:hAnsi="Cambria"/>
          <w:b/>
          <w:bCs/>
          <w:i w:val="false"/>
          <w:iCs w:val="false"/>
          <w:color w:val="13324F"/>
          <w:sz w:val="26"/>
          <w:szCs w:val="26"/>
        </w:rPr>
        <w:t xml:space="preserve">Las teorías que hay detrás</w:t>
      </w:r>
    </w:p>
    <w:p>
      <w:pPr>
        <w:spacing w:after="140" w:line="340"/>
        <w:jc w:val="both"/>
      </w:pPr>
      <w:r>
        <w:rPr>
          <w:rFonts w:ascii="Times New Roman" w:cs="Times New Roman" w:eastAsia="Times New Roman" w:hAnsi="Times New Roman"/>
          <w:b w:val="false"/>
          <w:bCs w:val="false"/>
          <w:i w:val="false"/>
          <w:iCs w:val="false"/>
          <w:color w:val="1E2A32"/>
          <w:sz w:val="24"/>
          <w:szCs w:val="24"/>
        </w:rPr>
        <w:t xml:space="preserve">Y es que, como bien apunta el texto, cada tipo de material lleva “puesta” una teoría del aprendizaje. Los materiales más directivos beben del </w:t>
      </w:r>
      <w:r>
        <w:rPr>
          <w:rFonts w:ascii="Times New Roman" w:cs="Times New Roman" w:eastAsia="Times New Roman" w:hAnsi="Times New Roman"/>
          <w:b/>
          <w:bCs/>
          <w:i w:val="false"/>
          <w:iCs w:val="false"/>
          <w:color w:val="1E2A32"/>
          <w:sz w:val="24"/>
          <w:szCs w:val="24"/>
        </w:rPr>
        <w:t xml:space="preserve">conductismo</w:t>
      </w:r>
      <w:r>
        <w:rPr>
          <w:rFonts w:ascii="Times New Roman" w:cs="Times New Roman" w:eastAsia="Times New Roman" w:hAnsi="Times New Roman"/>
          <w:b w:val="false"/>
          <w:bCs w:val="false"/>
          <w:i w:val="false"/>
          <w:iCs w:val="false"/>
          <w:color w:val="1E2A32"/>
          <w:sz w:val="24"/>
          <w:szCs w:val="24"/>
        </w:rPr>
        <w:t xml:space="preserve"> de Skinner: estímulo–respuesta–refuerzo, enseñanza programada y memorización, algo eficaz cuando el contenido está muy estructurado, pero limitado para problemas complejos. Frente a eso, el </w:t>
      </w:r>
      <w:r>
        <w:rPr>
          <w:rFonts w:ascii="Times New Roman" w:cs="Times New Roman" w:eastAsia="Times New Roman" w:hAnsi="Times New Roman"/>
          <w:b/>
          <w:bCs/>
          <w:i w:val="false"/>
          <w:iCs w:val="false"/>
          <w:color w:val="1E2A32"/>
          <w:sz w:val="24"/>
          <w:szCs w:val="24"/>
        </w:rPr>
        <w:t xml:space="preserve">aprendizaje por descubrimiento</w:t>
      </w:r>
      <w:r>
        <w:rPr>
          <w:rFonts w:ascii="Times New Roman" w:cs="Times New Roman" w:eastAsia="Times New Roman" w:hAnsi="Times New Roman"/>
          <w:b w:val="false"/>
          <w:bCs w:val="false"/>
          <w:i w:val="false"/>
          <w:iCs w:val="false"/>
          <w:color w:val="1E2A32"/>
          <w:sz w:val="24"/>
          <w:szCs w:val="24"/>
        </w:rPr>
        <w:t xml:space="preserve"> de Bruner apuesta por la experimentación directa y el razonamiento inductivo, muy presente en simuladores y constructores. El </w:t>
      </w:r>
      <w:r>
        <w:rPr>
          <w:rFonts w:ascii="Times New Roman" w:cs="Times New Roman" w:eastAsia="Times New Roman" w:hAnsi="Times New Roman"/>
          <w:b/>
          <w:bCs/>
          <w:i w:val="false"/>
          <w:iCs w:val="false"/>
          <w:color w:val="1E2A32"/>
          <w:sz w:val="24"/>
          <w:szCs w:val="24"/>
        </w:rPr>
        <w:t xml:space="preserve">aprendizaje significativo</w:t>
      </w:r>
      <w:r>
        <w:rPr>
          <w:rFonts w:ascii="Times New Roman" w:cs="Times New Roman" w:eastAsia="Times New Roman" w:hAnsi="Times New Roman"/>
          <w:b w:val="false"/>
          <w:bCs w:val="false"/>
          <w:i w:val="false"/>
          <w:iCs w:val="false"/>
          <w:color w:val="1E2A32"/>
          <w:sz w:val="24"/>
          <w:szCs w:val="24"/>
        </w:rPr>
        <w:t xml:space="preserve"> de Ausubel y Novak recuerda que lo nuevo debe conectarse con lo que el alumno ya sabe mediante organizadores previos —una idea, por cierto, muy cercana al principio de “pre-entrenamiento” del aprendizaje multimedia—.</w:t>
      </w:r>
    </w:p>
    <w:p>
      <w:pPr>
        <w:spacing w:after="140" w:line="340"/>
        <w:jc w:val="both"/>
      </w:pPr>
      <w:r>
        <w:rPr>
          <w:rFonts w:ascii="Times New Roman" w:cs="Times New Roman" w:eastAsia="Times New Roman" w:hAnsi="Times New Roman"/>
          <w:b w:val="false"/>
          <w:bCs w:val="false"/>
          <w:i w:val="false"/>
          <w:iCs w:val="false"/>
          <w:color w:val="1E2A32"/>
          <w:sz w:val="24"/>
          <w:szCs w:val="24"/>
        </w:rPr>
        <w:t xml:space="preserve">A esto se suman el </w:t>
      </w:r>
      <w:r>
        <w:rPr>
          <w:rFonts w:ascii="Times New Roman" w:cs="Times New Roman" w:eastAsia="Times New Roman" w:hAnsi="Times New Roman"/>
          <w:b/>
          <w:bCs/>
          <w:i w:val="false"/>
          <w:iCs w:val="false"/>
          <w:color w:val="1E2A32"/>
          <w:sz w:val="24"/>
          <w:szCs w:val="24"/>
        </w:rPr>
        <w:t xml:space="preserve">enfoque cognitivo</w:t>
      </w:r>
      <w:r>
        <w:rPr>
          <w:rFonts w:ascii="Times New Roman" w:cs="Times New Roman" w:eastAsia="Times New Roman" w:hAnsi="Times New Roman"/>
          <w:b w:val="false"/>
          <w:bCs w:val="false"/>
          <w:i w:val="false"/>
          <w:iCs w:val="false"/>
          <w:color w:val="1E2A32"/>
          <w:sz w:val="24"/>
          <w:szCs w:val="24"/>
        </w:rPr>
        <w:t xml:space="preserve"> (Gagné, Merrill), que ve el aprendizaje como un proceso activo de adquisición y representación del conocimiento y subyace en muchos materiales directivos, y el </w:t>
      </w:r>
      <w:r>
        <w:rPr>
          <w:rFonts w:ascii="Times New Roman" w:cs="Times New Roman" w:eastAsia="Times New Roman" w:hAnsi="Times New Roman"/>
          <w:b/>
          <w:bCs/>
          <w:i w:val="false"/>
          <w:iCs w:val="false"/>
          <w:color w:val="1E2A32"/>
          <w:sz w:val="24"/>
          <w:szCs w:val="24"/>
        </w:rPr>
        <w:t xml:space="preserve">constructivismo</w:t>
      </w:r>
      <w:r>
        <w:rPr>
          <w:rFonts w:ascii="Times New Roman" w:cs="Times New Roman" w:eastAsia="Times New Roman" w:hAnsi="Times New Roman"/>
          <w:b w:val="false"/>
          <w:bCs w:val="false"/>
          <w:i w:val="false"/>
          <w:iCs w:val="false"/>
          <w:color w:val="1E2A32"/>
          <w:sz w:val="24"/>
          <w:szCs w:val="24"/>
        </w:rPr>
        <w:t xml:space="preserve"> de Piaget junto con el </w:t>
      </w:r>
      <w:r>
        <w:rPr>
          <w:rFonts w:ascii="Times New Roman" w:cs="Times New Roman" w:eastAsia="Times New Roman" w:hAnsi="Times New Roman"/>
          <w:b/>
          <w:bCs/>
          <w:i w:val="false"/>
          <w:iCs w:val="false"/>
          <w:color w:val="1E2A32"/>
          <w:sz w:val="24"/>
          <w:szCs w:val="24"/>
        </w:rPr>
        <w:t xml:space="preserve">socio-constructivismo</w:t>
      </w:r>
      <w:r>
        <w:rPr>
          <w:rFonts w:ascii="Times New Roman" w:cs="Times New Roman" w:eastAsia="Times New Roman" w:hAnsi="Times New Roman"/>
          <w:b w:val="false"/>
          <w:bCs w:val="false"/>
          <w:i w:val="false"/>
          <w:iCs w:val="false"/>
          <w:color w:val="1E2A32"/>
          <w:sz w:val="24"/>
          <w:szCs w:val="24"/>
        </w:rPr>
        <w:t xml:space="preserve"> de Vygotsky, que ponen el acento en construir el propio conocimiento y en hacerlo con otros, a través de la interacción social y el “andamiaje”. No es exagerado decir que elegir un material es, en el fondo, tomar postura sobre cómo creemos que se aprende.</w:t>
      </w:r>
    </w:p>
    <w:p>
      <w:pPr>
        <w:spacing w:after="80" w:before="220"/>
      </w:pPr>
      <w:r>
        <w:rPr>
          <w:rFonts w:ascii="Cambria" w:cs="Cambria" w:eastAsia="Cambria" w:hAnsi="Cambria"/>
          <w:b/>
          <w:bCs/>
          <w:i w:val="false"/>
          <w:iCs w:val="false"/>
          <w:color w:val="13324F"/>
          <w:sz w:val="26"/>
          <w:szCs w:val="26"/>
        </w:rPr>
        <w:t xml:space="preserve">Otras formas de clasificarlos</w:t>
      </w:r>
    </w:p>
    <w:p>
      <w:pPr>
        <w:spacing w:after="140" w:line="340"/>
        <w:jc w:val="both"/>
      </w:pPr>
      <w:r>
        <w:rPr>
          <w:rFonts w:ascii="Times New Roman" w:cs="Times New Roman" w:eastAsia="Times New Roman" w:hAnsi="Times New Roman"/>
          <w:b w:val="false"/>
          <w:bCs w:val="false"/>
          <w:i w:val="false"/>
          <w:iCs w:val="false"/>
          <w:color w:val="1E2A32"/>
          <w:sz w:val="24"/>
          <w:szCs w:val="24"/>
        </w:rPr>
        <w:t xml:space="preserve">Marqués no se queda solo en la estructura; recuerda que los materiales también pueden ordenarse según muchos otros criterios: sus contenidos, sus destinatarios, los medios que integran (convencional, hipertexto, multimedia, hipermedia o realidad virtual), su “inteligencia”, los objetivos que persiguen, las actividades cognitivas que activan o su función dentro de la estrategia didáctica. Esa cantidad de criterios puede parecer abrumadora, pero en realidad es una buena noticia: quiere decir que un mismo recurso se puede analizar desde varios ángulos según lo que necesitemos en cada momento.</w:t>
      </w:r>
    </w:p>
    <w:p>
      <w:pPr>
        <w:spacing w:after="80" w:before="220"/>
      </w:pPr>
      <w:r>
        <w:rPr>
          <w:rFonts w:ascii="Cambria" w:cs="Cambria" w:eastAsia="Cambria" w:hAnsi="Cambria"/>
          <w:b/>
          <w:bCs/>
          <w:i w:val="false"/>
          <w:iCs w:val="false"/>
          <w:color w:val="13324F"/>
          <w:sz w:val="26"/>
          <w:szCs w:val="26"/>
        </w:rPr>
        <w:t xml:space="preserve">Reflexión final</w:t>
      </w:r>
    </w:p>
    <w:p>
      <w:pPr>
        <w:spacing w:after="140" w:line="340"/>
        <w:jc w:val="both"/>
      </w:pPr>
      <w:r>
        <w:rPr>
          <w:rFonts w:ascii="Times New Roman" w:cs="Times New Roman" w:eastAsia="Times New Roman" w:hAnsi="Times New Roman"/>
          <w:b w:val="false"/>
          <w:bCs w:val="false"/>
          <w:i w:val="false"/>
          <w:iCs w:val="false"/>
          <w:color w:val="1E2A32"/>
          <w:sz w:val="24"/>
          <w:szCs w:val="24"/>
        </w:rPr>
        <w:t xml:space="preserve">Si algo queda claro tras esta lectura es que no existe el material multimedia “perfecto”; existe el material adecuado para un objetivo, un grupo y un enfoque determinados. Un programa de ejercitación puede ser ideal para afianzar operaciones básicas, mientras que un simulador o un constructor funcionarán mejor para desarrollar pensamiento crítico o creatividad. Como estudiante de tecnología educativa, me parece que el verdadero valor de esta clasificación no está en memorizar categorías, sino en usarla como una brújula: antes de elegir o diseñar un recurso, vale la pena preguntarse qué tipo de aprendizaje quiero promover y qué teoría lo respalda. Al final, la tecnología es solo el medio; el criterio pedagógico sigue siendo lo que marca la diferencia.</w:t>
      </w:r>
    </w:p>
    <w:p>
      <w:pPr>
        <w:spacing w:after="80" w:before="220"/>
      </w:pPr>
      <w:r>
        <w:rPr>
          <w:rFonts w:ascii="Cambria" w:cs="Cambria" w:eastAsia="Cambria" w:hAnsi="Cambria"/>
          <w:b/>
          <w:bCs/>
          <w:i w:val="false"/>
          <w:iCs w:val="false"/>
          <w:color w:val="13324F"/>
          <w:sz w:val="26"/>
          <w:szCs w:val="26"/>
        </w:rPr>
        <w:t xml:space="preserve">Referencias</w:t>
      </w:r>
    </w:p>
    <w:p>
      <w:pPr>
        <w:spacing w:after="80" w:line="320"/>
        <w:ind w:hanging="360"/>
      </w:pPr>
      <w:r>
        <w:rPr>
          <w:rFonts w:ascii="Times New Roman" w:cs="Times New Roman" w:eastAsia="Times New Roman" w:hAnsi="Times New Roman"/>
          <w:b w:val="false"/>
          <w:bCs w:val="false"/>
          <w:i w:val="false"/>
          <w:iCs w:val="false"/>
          <w:color w:val="1E2A32"/>
          <w:sz w:val="24"/>
          <w:szCs w:val="24"/>
        </w:rPr>
        <w:t xml:space="preserve">Marqués Graells, P. (s. f.). </w:t>
      </w:r>
      <w:r>
        <w:rPr>
          <w:rFonts w:ascii="Times New Roman" w:cs="Times New Roman" w:eastAsia="Times New Roman" w:hAnsi="Times New Roman"/>
          <w:b w:val="false"/>
          <w:bCs w:val="false"/>
          <w:i/>
          <w:iCs/>
          <w:color w:val="1E2A32"/>
          <w:sz w:val="24"/>
          <w:szCs w:val="24"/>
        </w:rPr>
        <w:t xml:space="preserve">Multimedia educativo: clasificación de los materiales didácticos multimedia.</w:t>
      </w:r>
      <w:r>
        <w:rPr>
          <w:rFonts w:ascii="Times New Roman" w:cs="Times New Roman" w:eastAsia="Times New Roman" w:hAnsi="Times New Roman"/>
          <w:b w:val="false"/>
          <w:bCs w:val="false"/>
          <w:i w:val="false"/>
          <w:iCs w:val="false"/>
          <w:color w:val="1E2A32"/>
          <w:sz w:val="24"/>
          <w:szCs w:val="24"/>
        </w:rPr>
        <w:t xml:space="preserve"> Recuperado de https://es.scribd.com/book/526480656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7c3be09027b08b8baeafeb42186d7fa615743f.png"/><Relationship Id="rId8" Type="http://schemas.openxmlformats.org/officeDocument/2006/relationships/image" Target="media/a891039cfdda2fbfd9adc67acc8988ab85c9d154.png"/><Relationship Id="rId9" Type="http://schemas.openxmlformats.org/officeDocument/2006/relationships/image" Target="media/1f7bfb9a7dee9f8d0cf8d88ae881dc9bd31f7f0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Ensayo - Clasificación de los materiales didácticos multimedia</dc:title>
  <dc:creator>Anakaren Ernestina Reimers Reyes</dc:creator>
  <cp:lastModifiedBy>Un-named</cp:lastModifiedBy>
  <cp:revision>1</cp:revision>
  <dcterms:created xsi:type="dcterms:W3CDTF">2026-09-25T03:23:08.938Z</dcterms:created>
  <dcterms:modified xsi:type="dcterms:W3CDTF">2026-09-25T03:23:08.949Z</dcterms:modified>
</cp:coreProperties>
</file>

<file path=docProps/custom.xml><?xml version="1.0" encoding="utf-8"?>
<Properties xmlns="http://schemas.openxmlformats.org/officeDocument/2006/custom-properties" xmlns:vt="http://schemas.openxmlformats.org/officeDocument/2006/docPropsVTypes"/>
</file>