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C73" w:rsidRPr="00AB3E93" w:rsidRDefault="00B20C73" w:rsidP="00B20C73">
      <w:pPr>
        <w:jc w:val="center"/>
        <w:rPr>
          <w:rFonts w:ascii="Arial" w:eastAsia="Times New Roman" w:hAnsi="Arial" w:cs="Arial"/>
          <w:b/>
          <w:bCs/>
          <w:color w:val="222222"/>
          <w:sz w:val="24"/>
          <w:szCs w:val="24"/>
          <w:lang w:eastAsia="en-GB"/>
        </w:rPr>
      </w:pPr>
      <w:r w:rsidRPr="00AB3E93">
        <w:rPr>
          <w:rFonts w:ascii="Arial" w:eastAsia="Times New Roman" w:hAnsi="Arial" w:cs="Arial"/>
          <w:b/>
          <w:bCs/>
          <w:color w:val="222222"/>
          <w:sz w:val="24"/>
          <w:szCs w:val="24"/>
          <w:lang w:eastAsia="en-GB"/>
        </w:rPr>
        <w:t>Assessing Text Readability Experiment</w:t>
      </w:r>
    </w:p>
    <w:p w:rsidR="00B20C73" w:rsidRDefault="00B20C73" w:rsidP="00B20C73">
      <w:pPr>
        <w:shd w:val="clear" w:color="auto" w:fill="FFFFFF"/>
        <w:spacing w:after="0" w:line="240" w:lineRule="auto"/>
        <w:jc w:val="both"/>
        <w:rPr>
          <w:rFonts w:ascii="Arial" w:eastAsia="Times New Roman" w:hAnsi="Arial" w:cs="Arial"/>
          <w:b/>
          <w:bCs/>
          <w:color w:val="222222"/>
          <w:lang w:eastAsia="en-GB"/>
        </w:rPr>
      </w:pPr>
    </w:p>
    <w:p w:rsidR="00B20C73" w:rsidRPr="00AB3E93" w:rsidRDefault="00B20C73" w:rsidP="00B20C73">
      <w:pPr>
        <w:shd w:val="clear" w:color="auto" w:fill="FFFFFF"/>
        <w:spacing w:after="0" w:line="240" w:lineRule="auto"/>
        <w:jc w:val="both"/>
        <w:rPr>
          <w:rFonts w:ascii="Arial" w:eastAsia="Times New Roman" w:hAnsi="Arial" w:cs="Arial"/>
          <w:color w:val="222222"/>
          <w:lang w:eastAsia="en-GB"/>
        </w:rPr>
      </w:pPr>
      <w:r w:rsidRPr="00AB3E93">
        <w:rPr>
          <w:rFonts w:ascii="Arial" w:eastAsia="Times New Roman" w:hAnsi="Arial" w:cs="Arial"/>
          <w:b/>
          <w:bCs/>
          <w:color w:val="222222"/>
          <w:lang w:eastAsia="en-GB"/>
        </w:rPr>
        <w:t>Readability</w:t>
      </w:r>
      <w:r w:rsidRPr="00AB3E93">
        <w:rPr>
          <w:rFonts w:ascii="Arial" w:eastAsia="Times New Roman" w:hAnsi="Arial" w:cs="Arial"/>
          <w:color w:val="222222"/>
          <w:lang w:eastAsia="en-GB"/>
        </w:rPr>
        <w:t> is the ease with which a written text can be understood by a reader. The </w:t>
      </w:r>
      <w:r w:rsidRPr="00AB3E93">
        <w:rPr>
          <w:rFonts w:ascii="Arial" w:eastAsia="Times New Roman" w:hAnsi="Arial" w:cs="Arial"/>
          <w:b/>
          <w:bCs/>
          <w:color w:val="222222"/>
          <w:lang w:eastAsia="en-GB"/>
        </w:rPr>
        <w:t>readability</w:t>
      </w:r>
      <w:r w:rsidRPr="00AB3E93">
        <w:rPr>
          <w:rFonts w:ascii="Arial" w:eastAsia="Times New Roman" w:hAnsi="Arial" w:cs="Arial"/>
          <w:color w:val="222222"/>
          <w:lang w:eastAsia="en-GB"/>
        </w:rPr>
        <w:t> of a particular text depends on its content (for example, the complexity of its vocabulary and syntax).</w:t>
      </w:r>
    </w:p>
    <w:p w:rsidR="00B20C73" w:rsidRPr="00AB3E93" w:rsidRDefault="00B20C73" w:rsidP="00B20C73">
      <w:pPr>
        <w:rPr>
          <w:rFonts w:cs="Arial"/>
          <w:b/>
          <w:bCs/>
          <w:color w:val="0070C0"/>
          <w:sz w:val="20"/>
          <w:szCs w:val="20"/>
        </w:rPr>
      </w:pPr>
    </w:p>
    <w:p w:rsidR="00345F73" w:rsidRDefault="00345F73" w:rsidP="00345F73">
      <w:pPr>
        <w:shd w:val="clear" w:color="auto" w:fill="FFFFFF"/>
        <w:spacing w:after="0" w:line="240" w:lineRule="auto"/>
        <w:jc w:val="both"/>
        <w:rPr>
          <w:rFonts w:ascii="Arial" w:eastAsia="Times New Roman" w:hAnsi="Arial" w:cs="Arial"/>
          <w:color w:val="222222"/>
          <w:lang w:eastAsia="en-GB"/>
        </w:rPr>
      </w:pPr>
      <w:r>
        <w:rPr>
          <w:rFonts w:ascii="Arial" w:eastAsia="Times New Roman" w:hAnsi="Arial" w:cs="Arial"/>
          <w:color w:val="222222"/>
          <w:lang w:eastAsia="en-GB"/>
        </w:rPr>
        <w:t xml:space="preserve">Please read the 10 documents shown below and provide a readability score in the Table 1. The scale from </w:t>
      </w:r>
      <w:r>
        <w:rPr>
          <w:rFonts w:ascii="Arial" w:eastAsia="Times New Roman" w:hAnsi="Arial" w:cs="Arial"/>
          <w:b/>
          <w:bCs/>
          <w:color w:val="222222"/>
          <w:lang w:eastAsia="en-GB"/>
        </w:rPr>
        <w:t>Very High</w:t>
      </w:r>
      <w:r>
        <w:rPr>
          <w:rFonts w:ascii="Arial" w:eastAsia="Times New Roman" w:hAnsi="Arial" w:cs="Arial"/>
          <w:color w:val="222222"/>
          <w:lang w:eastAsia="en-GB"/>
        </w:rPr>
        <w:t xml:space="preserve"> to </w:t>
      </w:r>
      <w:r>
        <w:rPr>
          <w:rFonts w:ascii="Arial" w:eastAsia="Times New Roman" w:hAnsi="Arial" w:cs="Arial"/>
          <w:b/>
          <w:bCs/>
          <w:color w:val="222222"/>
          <w:lang w:eastAsia="en-GB"/>
        </w:rPr>
        <w:t>Very Low</w:t>
      </w:r>
      <w:r>
        <w:rPr>
          <w:rFonts w:ascii="Arial" w:eastAsia="Times New Roman" w:hAnsi="Arial" w:cs="Arial"/>
          <w:color w:val="222222"/>
          <w:lang w:eastAsia="en-GB"/>
        </w:rPr>
        <w:t xml:space="preserve"> determines how readable the text is with "Very High" meaning very easy to read.</w:t>
      </w:r>
    </w:p>
    <w:p w:rsidR="00B20C73" w:rsidRDefault="00B20C73" w:rsidP="00B20C73">
      <w:pPr>
        <w:rPr>
          <w:rFonts w:ascii="Arial" w:eastAsia="Times New Roman" w:hAnsi="Arial" w:cs="Arial"/>
          <w:color w:val="222222"/>
          <w:lang w:eastAsia="en-GB"/>
        </w:rPr>
      </w:pPr>
      <w:bookmarkStart w:id="0" w:name="_GoBack"/>
      <w:bookmarkEnd w:id="0"/>
      <w:r w:rsidRPr="00AB3E93">
        <w:rPr>
          <w:rFonts w:ascii="Arial" w:eastAsia="Times New Roman" w:hAnsi="Arial" w:cs="Arial"/>
          <w:color w:val="222222"/>
          <w:lang w:eastAsia="en-GB"/>
        </w:rPr>
        <w:br/>
        <w:t>Many thanks</w:t>
      </w:r>
    </w:p>
    <w:p w:rsidR="00B20C73" w:rsidRPr="00AB3E93" w:rsidRDefault="00B20C73" w:rsidP="00B20C73">
      <w:pPr>
        <w:rPr>
          <w:rFonts w:ascii="Arial" w:eastAsia="Times New Roman" w:hAnsi="Arial" w:cs="Arial"/>
          <w:color w:val="222222"/>
          <w:lang w:eastAsia="en-GB"/>
        </w:rPr>
      </w:pPr>
    </w:p>
    <w:p w:rsidR="00B20C73" w:rsidRDefault="00B20C73" w:rsidP="00B20C73">
      <w:pPr>
        <w:spacing w:after="0"/>
      </w:pPr>
      <w:r>
        <w:t>Table 1: Readability Scores sheet:</w:t>
      </w:r>
    </w:p>
    <w:tbl>
      <w:tblPr>
        <w:tblStyle w:val="TableGrid"/>
        <w:tblW w:w="0" w:type="auto"/>
        <w:tblLook w:val="04A0" w:firstRow="1" w:lastRow="0" w:firstColumn="1" w:lastColumn="0" w:noHBand="0" w:noVBand="1"/>
      </w:tblPr>
      <w:tblGrid>
        <w:gridCol w:w="4621"/>
        <w:gridCol w:w="4621"/>
      </w:tblGrid>
      <w:tr w:rsidR="00B20C73" w:rsidTr="00B0028E">
        <w:tc>
          <w:tcPr>
            <w:tcW w:w="4621" w:type="dxa"/>
          </w:tcPr>
          <w:p w:rsidR="00B20C73" w:rsidRDefault="00B20C73" w:rsidP="00B0028E">
            <w:pPr>
              <w:rPr>
                <w:rFonts w:cs="Arial"/>
                <w:b/>
                <w:bCs/>
                <w:color w:val="0070C0"/>
              </w:rPr>
            </w:pPr>
            <w:r>
              <w:rPr>
                <w:rFonts w:cs="Arial"/>
                <w:b/>
                <w:bCs/>
                <w:color w:val="0070C0"/>
              </w:rPr>
              <w:t>Document</w:t>
            </w:r>
          </w:p>
        </w:tc>
        <w:tc>
          <w:tcPr>
            <w:tcW w:w="4621" w:type="dxa"/>
          </w:tcPr>
          <w:p w:rsidR="00B20C73" w:rsidRDefault="00B20C73" w:rsidP="00B0028E">
            <w:pPr>
              <w:rPr>
                <w:rFonts w:cs="Arial"/>
                <w:b/>
                <w:bCs/>
                <w:color w:val="0070C0"/>
              </w:rPr>
            </w:pPr>
            <w:r>
              <w:rPr>
                <w:rFonts w:cs="Arial"/>
                <w:b/>
                <w:bCs/>
                <w:color w:val="0070C0"/>
              </w:rPr>
              <w:t>Readability Score</w:t>
            </w:r>
          </w:p>
          <w:p w:rsidR="00B20C73" w:rsidRDefault="00B20C73" w:rsidP="00B0028E">
            <w:pPr>
              <w:rPr>
                <w:rFonts w:cs="Arial"/>
                <w:b/>
                <w:bCs/>
                <w:color w:val="0070C0"/>
              </w:rPr>
            </w:pPr>
            <w:r w:rsidRPr="00813692">
              <w:rPr>
                <w:rFonts w:cs="Arial"/>
                <w:b/>
                <w:bCs/>
                <w:color w:val="0070C0"/>
                <w:sz w:val="20"/>
                <w:szCs w:val="20"/>
              </w:rPr>
              <w:t>[</w:t>
            </w:r>
            <w:r w:rsidRPr="00813692">
              <w:rPr>
                <w:rFonts w:cs="Arial"/>
                <w:b/>
                <w:bCs/>
                <w:color w:val="000000" w:themeColor="text1"/>
                <w:sz w:val="20"/>
                <w:szCs w:val="20"/>
              </w:rPr>
              <w:t>Very High</w:t>
            </w:r>
            <w:r w:rsidRPr="00813692">
              <w:rPr>
                <w:rFonts w:cs="Arial"/>
                <w:b/>
                <w:bCs/>
                <w:color w:val="0070C0"/>
                <w:sz w:val="20"/>
                <w:szCs w:val="20"/>
              </w:rPr>
              <w:t>], [</w:t>
            </w:r>
            <w:r w:rsidRPr="00813692">
              <w:rPr>
                <w:rFonts w:cs="Arial"/>
                <w:b/>
                <w:bCs/>
                <w:color w:val="000000" w:themeColor="text1"/>
                <w:sz w:val="20"/>
                <w:szCs w:val="20"/>
              </w:rPr>
              <w:t>High</w:t>
            </w:r>
            <w:r w:rsidRPr="00813692">
              <w:rPr>
                <w:rFonts w:cs="Arial"/>
                <w:b/>
                <w:bCs/>
                <w:color w:val="0070C0"/>
                <w:sz w:val="20"/>
                <w:szCs w:val="20"/>
              </w:rPr>
              <w:t>], [</w:t>
            </w:r>
            <w:r w:rsidRPr="00813692">
              <w:rPr>
                <w:rFonts w:cs="Arial"/>
                <w:b/>
                <w:bCs/>
                <w:color w:val="000000" w:themeColor="text1"/>
                <w:sz w:val="20"/>
                <w:szCs w:val="20"/>
              </w:rPr>
              <w:t>Medium</w:t>
            </w:r>
            <w:r w:rsidRPr="00813692">
              <w:rPr>
                <w:rFonts w:cs="Arial"/>
                <w:b/>
                <w:bCs/>
                <w:color w:val="0070C0"/>
                <w:sz w:val="20"/>
                <w:szCs w:val="20"/>
              </w:rPr>
              <w:t>], [</w:t>
            </w:r>
            <w:r w:rsidRPr="00813692">
              <w:rPr>
                <w:rFonts w:cs="Arial"/>
                <w:b/>
                <w:bCs/>
                <w:color w:val="000000" w:themeColor="text1"/>
                <w:sz w:val="20"/>
                <w:szCs w:val="20"/>
              </w:rPr>
              <w:t>Low</w:t>
            </w:r>
            <w:r w:rsidRPr="00813692">
              <w:rPr>
                <w:rFonts w:cs="Arial"/>
                <w:b/>
                <w:bCs/>
                <w:color w:val="0070C0"/>
                <w:sz w:val="20"/>
                <w:szCs w:val="20"/>
              </w:rPr>
              <w:t>], [</w:t>
            </w:r>
            <w:r w:rsidRPr="00813692">
              <w:rPr>
                <w:rFonts w:cs="Arial"/>
                <w:b/>
                <w:bCs/>
                <w:color w:val="000000" w:themeColor="text1"/>
                <w:sz w:val="20"/>
                <w:szCs w:val="20"/>
              </w:rPr>
              <w:t>Very Low</w:t>
            </w:r>
            <w:r w:rsidRPr="00813692">
              <w:rPr>
                <w:rFonts w:cs="Arial"/>
                <w:b/>
                <w:bCs/>
                <w:color w:val="0070C0"/>
                <w:sz w:val="20"/>
                <w:szCs w:val="20"/>
              </w:rPr>
              <w:t>]</w:t>
            </w:r>
          </w:p>
        </w:tc>
      </w:tr>
      <w:tr w:rsidR="00B20C73" w:rsidTr="00B0028E">
        <w:tc>
          <w:tcPr>
            <w:tcW w:w="4621" w:type="dxa"/>
          </w:tcPr>
          <w:p w:rsidR="00B20C73" w:rsidRDefault="00B20C73" w:rsidP="00B0028E">
            <w:pPr>
              <w:rPr>
                <w:rFonts w:cs="Arial"/>
                <w:b/>
                <w:bCs/>
                <w:color w:val="0070C0"/>
              </w:rPr>
            </w:pPr>
            <w:r>
              <w:rPr>
                <w:rFonts w:cs="Arial"/>
                <w:b/>
                <w:bCs/>
                <w:color w:val="0070C0"/>
              </w:rPr>
              <w:t>1</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2</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3</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4</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5</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6</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7</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8</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9</w:t>
            </w:r>
          </w:p>
        </w:tc>
        <w:tc>
          <w:tcPr>
            <w:tcW w:w="4621" w:type="dxa"/>
          </w:tcPr>
          <w:p w:rsidR="00B20C73" w:rsidRDefault="00B20C73" w:rsidP="00B0028E">
            <w:pPr>
              <w:rPr>
                <w:rFonts w:cs="Arial"/>
                <w:b/>
                <w:bCs/>
                <w:color w:val="0070C0"/>
              </w:rPr>
            </w:pPr>
          </w:p>
        </w:tc>
      </w:tr>
      <w:tr w:rsidR="00B20C73" w:rsidTr="00B0028E">
        <w:tc>
          <w:tcPr>
            <w:tcW w:w="4621" w:type="dxa"/>
          </w:tcPr>
          <w:p w:rsidR="00B20C73" w:rsidRDefault="00B20C73" w:rsidP="00B0028E">
            <w:pPr>
              <w:rPr>
                <w:rFonts w:cs="Arial"/>
                <w:b/>
                <w:bCs/>
                <w:color w:val="0070C0"/>
              </w:rPr>
            </w:pPr>
            <w:r>
              <w:rPr>
                <w:rFonts w:cs="Arial"/>
                <w:b/>
                <w:bCs/>
                <w:color w:val="0070C0"/>
              </w:rPr>
              <w:t>10</w:t>
            </w:r>
          </w:p>
        </w:tc>
        <w:tc>
          <w:tcPr>
            <w:tcW w:w="4621" w:type="dxa"/>
          </w:tcPr>
          <w:p w:rsidR="00B20C73" w:rsidRDefault="00B20C73" w:rsidP="00B0028E">
            <w:pPr>
              <w:rPr>
                <w:rFonts w:cs="Arial"/>
                <w:b/>
                <w:bCs/>
                <w:color w:val="0070C0"/>
              </w:rPr>
            </w:pPr>
          </w:p>
        </w:tc>
      </w:tr>
    </w:tbl>
    <w:p w:rsidR="00B20C73" w:rsidRDefault="00B20C73" w:rsidP="00B20C73">
      <w:pPr>
        <w:rPr>
          <w:rFonts w:cs="Arial"/>
          <w:b/>
          <w:bCs/>
          <w:color w:val="0070C0"/>
        </w:rPr>
      </w:pPr>
    </w:p>
    <w:p w:rsidR="00B20C73" w:rsidRDefault="00B20C73">
      <w:pPr>
        <w:rPr>
          <w:rFonts w:cs="Arial"/>
          <w:b/>
          <w:bCs/>
          <w:color w:val="0070C0"/>
        </w:rPr>
      </w:pPr>
      <w:r>
        <w:rPr>
          <w:rFonts w:cs="Arial"/>
          <w:b/>
          <w:bCs/>
          <w:color w:val="0070C0"/>
        </w:rPr>
        <w:br w:type="page"/>
      </w:r>
    </w:p>
    <w:p w:rsidR="00D34A8D" w:rsidRPr="00DF0E43" w:rsidRDefault="00D34A8D" w:rsidP="00D34A8D">
      <w:pPr>
        <w:rPr>
          <w:rFonts w:cs="Arial"/>
          <w:b/>
          <w:bCs/>
          <w:color w:val="0070C0"/>
        </w:rPr>
      </w:pPr>
      <w:r w:rsidRPr="00DF0E43">
        <w:rPr>
          <w:rFonts w:cs="Arial"/>
          <w:b/>
          <w:bCs/>
          <w:color w:val="0070C0"/>
        </w:rPr>
        <w:lastRenderedPageBreak/>
        <w:t>Document  1</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rPr>
          <w:rFonts w:cs="Arial"/>
        </w:rPr>
      </w:pPr>
      <w:r w:rsidRPr="00274373">
        <w:rPr>
          <w:rFonts w:cs="Arial"/>
        </w:rPr>
        <w:t>RESOLUTION 55/12</w:t>
      </w:r>
    </w:p>
    <w:p w:rsidR="00274373" w:rsidRPr="00274373" w:rsidRDefault="00274373" w:rsidP="00274373">
      <w:pPr>
        <w:rPr>
          <w:rFonts w:cs="Arial"/>
        </w:rPr>
      </w:pPr>
      <w:r w:rsidRPr="00274373">
        <w:rPr>
          <w:rFonts w:cs="Arial"/>
        </w:rPr>
        <w:t>Adopted at the 48th plenary meeting, on 1 November 2000, without a vote, on the basis of draft resolution A/55/L.23 and Add.1, sponsored by: Andorra, Argentina, Armenia, Australia, Austria, Bangladesh, Belgium, Bosnia and Herzegovina, Brazil, Bulgaria, Canada, Chile, China, Costa Rica, Croatia, Cuba, Cyprus, Czech Republic, Denmark, Ecuador, El Salvador, Estonia, Finland, France, Germany, Greece, Guatemala, Guinea, Hungary, Iceland, India, Indonesia, Iraq, Ireland, Israel, Italy, Japan, Latvia, Liechtenstein, Lithuania, Luxembourg, Malta, Mauritius, Monaco, Myanmar, Netherlands, New Zealand, Nicaragua, Norway, Paraguay, Peru, Poland, Portugal, Republic of Moldova, Romania, Russian Federation, San Marino, Seychelles, Slovakia, Slovenia, Spain, Sudan, Sweden, the former Yugoslav Republic of Macedonia, Togo, Turkey, Ukraine, United Kingdom of Great Britain and Northern Ireland, United States of America, Uruguay, Yemen</w:t>
      </w:r>
    </w:p>
    <w:p w:rsidR="00274373" w:rsidRPr="00274373" w:rsidRDefault="00274373" w:rsidP="00274373">
      <w:pPr>
        <w:rPr>
          <w:rFonts w:cs="Arial"/>
        </w:rPr>
      </w:pPr>
      <w:r w:rsidRPr="00274373">
        <w:rPr>
          <w:rFonts w:cs="Arial"/>
        </w:rPr>
        <w:t>55/12. Admission of the Federal Republic of Yugoslavia to membership in the United Nations</w:t>
      </w:r>
    </w:p>
    <w:p w:rsidR="00274373" w:rsidRPr="00274373" w:rsidRDefault="00274373" w:rsidP="00274373">
      <w:pPr>
        <w:rPr>
          <w:rFonts w:cs="Arial"/>
        </w:rPr>
      </w:pPr>
      <w:r w:rsidRPr="00274373">
        <w:rPr>
          <w:rFonts w:cs="Arial"/>
        </w:rPr>
        <w:t>The General Assembly,</w:t>
      </w:r>
    </w:p>
    <w:p w:rsidR="00274373" w:rsidRPr="00274373" w:rsidRDefault="00274373" w:rsidP="00274373">
      <w:pPr>
        <w:rPr>
          <w:rFonts w:cs="Arial"/>
        </w:rPr>
      </w:pPr>
      <w:r w:rsidRPr="00274373">
        <w:rPr>
          <w:rFonts w:cs="Arial"/>
        </w:rPr>
        <w:t>Having received the recommendation of the Security Council of 31 October 2000 that the Federal Republic of Yugoslavia should be admitted to membership in the United Nations,A/55/535.</w:t>
      </w:r>
    </w:p>
    <w:p w:rsidR="00274373" w:rsidRPr="00274373" w:rsidRDefault="00274373" w:rsidP="00274373">
      <w:pPr>
        <w:rPr>
          <w:rFonts w:cs="Arial"/>
        </w:rPr>
      </w:pPr>
      <w:r w:rsidRPr="00274373">
        <w:rPr>
          <w:rFonts w:cs="Arial"/>
        </w:rPr>
        <w:t>Having considered the application for membership of the Federal Republic of Yugoslavia,A/55/528-S/2000/1043, annex.</w:t>
      </w:r>
    </w:p>
    <w:p w:rsidR="00274373" w:rsidRPr="00274373" w:rsidRDefault="00274373" w:rsidP="00274373">
      <w:pPr>
        <w:rPr>
          <w:rFonts w:cs="Arial"/>
        </w:rPr>
      </w:pPr>
      <w:r w:rsidRPr="00274373">
        <w:rPr>
          <w:rFonts w:cs="Arial"/>
        </w:rPr>
        <w:t>Decides to admit the Federal Republic of Yugoslavia to membership in the United Nations.</w:t>
      </w:r>
    </w:p>
    <w:p w:rsidR="00D34A8D" w:rsidRDefault="00D34A8D" w:rsidP="00274373">
      <w:pPr>
        <w:rPr>
          <w:rFonts w:cs="Arial"/>
        </w:rPr>
      </w:pPr>
    </w:p>
    <w:p w:rsidR="00D34A8D" w:rsidRDefault="00D34A8D" w:rsidP="00D34A8D">
      <w:pPr>
        <w:pBdr>
          <w:bottom w:val="single" w:sz="6" w:space="1" w:color="auto"/>
        </w:pBdr>
        <w:bidi/>
        <w:rPr>
          <w:rFonts w:cs="Arial"/>
        </w:rPr>
      </w:pPr>
      <w:r>
        <w:rPr>
          <w:rFonts w:cs="Arial"/>
        </w:rPr>
        <w:t xml:space="preserve"> </w:t>
      </w:r>
    </w:p>
    <w:p w:rsidR="00D34A8D" w:rsidRDefault="00D34A8D" w:rsidP="00D34A8D">
      <w:pPr>
        <w:bidi/>
      </w:pPr>
    </w:p>
    <w:p w:rsidR="00D34A8D" w:rsidRDefault="00D34A8D" w:rsidP="00D34A8D">
      <w:pPr>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2</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56/118</w:t>
      </w:r>
    </w:p>
    <w:p w:rsidR="00274373" w:rsidRPr="00274373" w:rsidRDefault="00274373" w:rsidP="00274373">
      <w:pPr>
        <w:pBdr>
          <w:bottom w:val="single" w:sz="6" w:space="1" w:color="auto"/>
        </w:pBdr>
        <w:rPr>
          <w:rFonts w:cs="Arial"/>
        </w:rPr>
      </w:pPr>
      <w:r w:rsidRPr="00274373">
        <w:rPr>
          <w:rFonts w:cs="Arial"/>
        </w:rPr>
        <w:t>Adopted at the 88th plenary meeting, on 19 December 2001, without a vote, on the recommendation of the Committee (A/56/573, para. 17)The draft resolution recommended in the report was submitted by the Economic and Social Council.</w:t>
      </w:r>
    </w:p>
    <w:p w:rsidR="00274373" w:rsidRPr="00274373" w:rsidRDefault="00274373" w:rsidP="00274373">
      <w:pPr>
        <w:pBdr>
          <w:bottom w:val="single" w:sz="6" w:space="1" w:color="auto"/>
        </w:pBdr>
        <w:rPr>
          <w:rFonts w:cs="Arial"/>
        </w:rPr>
      </w:pPr>
      <w:r w:rsidRPr="00274373">
        <w:rPr>
          <w:rFonts w:cs="Arial"/>
        </w:rPr>
        <w:t>56/118. United Nations Trust Fund for Ageing</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Noting the importance of the participation of developing countries and the least developed countries in the preparatory process for the Second World Assembly on Ageing and in the World Assembly itself,</w:t>
      </w:r>
    </w:p>
    <w:p w:rsidR="00274373" w:rsidRPr="00274373" w:rsidRDefault="00274373" w:rsidP="00274373">
      <w:pPr>
        <w:pBdr>
          <w:bottom w:val="single" w:sz="6" w:space="1" w:color="auto"/>
        </w:pBdr>
        <w:rPr>
          <w:rFonts w:cs="Arial"/>
        </w:rPr>
      </w:pPr>
      <w:r w:rsidRPr="00274373">
        <w:rPr>
          <w:rFonts w:cs="Arial"/>
        </w:rPr>
        <w:t>Recalling its resolution 54/262 of 25 May 2000, in which it encouraged Member States and other actors to, inter alia, provide voluntary contributions to the United Nations Trust Fund for Ageing in support of preparatory activities for the Second World Assembly, including the participation of the least developed countries,</w:t>
      </w:r>
    </w:p>
    <w:p w:rsidR="00274373" w:rsidRPr="00274373" w:rsidRDefault="00274373" w:rsidP="00274373">
      <w:pPr>
        <w:pBdr>
          <w:bottom w:val="single" w:sz="6" w:space="1" w:color="auto"/>
        </w:pBdr>
        <w:rPr>
          <w:rFonts w:cs="Arial"/>
        </w:rPr>
      </w:pPr>
      <w:r w:rsidRPr="00274373">
        <w:rPr>
          <w:rFonts w:cs="Arial"/>
        </w:rPr>
        <w:t>1. Urges all Member States and other actors to contribute generously to the United Nations Trust Fund for Ageing, to support preparatory activities for the Second World Assembly on Ageing, in particular to facilitate the fullest participation of the least developed countries, and to support public information activities to promote the Second World Assembly and its outcome;</w:t>
      </w:r>
    </w:p>
    <w:p w:rsidR="00274373" w:rsidRPr="00274373" w:rsidRDefault="00274373" w:rsidP="00274373">
      <w:pPr>
        <w:pBdr>
          <w:bottom w:val="single" w:sz="6" w:space="1" w:color="auto"/>
        </w:pBdr>
        <w:rPr>
          <w:rFonts w:cs="Arial"/>
        </w:rPr>
      </w:pPr>
      <w:r w:rsidRPr="00274373">
        <w:rPr>
          <w:rFonts w:cs="Arial"/>
        </w:rPr>
        <w:t>2. Urges all States and public and private organizations to contribute to the Trust Fund to support public information activities to promote the Second World Assembly and its outcome.</w:t>
      </w:r>
    </w:p>
    <w:p w:rsidR="00D34A8D" w:rsidRDefault="00D34A8D" w:rsidP="00274373">
      <w:pPr>
        <w:pBdr>
          <w:bottom w:val="single" w:sz="6" w:space="1" w:color="auto"/>
        </w:pBdr>
      </w:pPr>
    </w:p>
    <w:p w:rsidR="00D34A8D" w:rsidRDefault="00D34A8D" w:rsidP="00D34A8D">
      <w:pPr>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3</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56/235</w:t>
      </w:r>
    </w:p>
    <w:p w:rsidR="00274373" w:rsidRPr="00274373" w:rsidRDefault="00274373" w:rsidP="00274373">
      <w:pPr>
        <w:pBdr>
          <w:bottom w:val="single" w:sz="6" w:space="1" w:color="auto"/>
        </w:pBdr>
        <w:rPr>
          <w:rFonts w:cs="Arial"/>
        </w:rPr>
      </w:pPr>
      <w:r w:rsidRPr="00274373">
        <w:rPr>
          <w:rFonts w:cs="Arial"/>
        </w:rPr>
        <w:t>Adopted at the 92nd plenary meeting, on 24 December 2001, without a vote, on the recommendation of the Committee (A/56/652, para. 8)The draft resolution recommended in the report was introduced by the Chairman of the Committee.</w:t>
      </w:r>
    </w:p>
    <w:p w:rsidR="00274373" w:rsidRPr="00274373" w:rsidRDefault="00274373" w:rsidP="00274373">
      <w:pPr>
        <w:pBdr>
          <w:bottom w:val="single" w:sz="6" w:space="1" w:color="auto"/>
        </w:pBdr>
        <w:rPr>
          <w:rFonts w:cs="Arial"/>
        </w:rPr>
      </w:pPr>
      <w:r w:rsidRPr="00274373">
        <w:rPr>
          <w:rFonts w:cs="Arial"/>
        </w:rPr>
        <w:t>56/235. Report of the Joint Inspection Unit on policies and practices in the use of the services of private management consulting firms in the organizations of the United Nations system</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Recalling its resolutions 55/232 of 23 December 2000 and 55/247 of 12 April 2001,</w:t>
      </w:r>
    </w:p>
    <w:p w:rsidR="00274373" w:rsidRPr="00274373" w:rsidRDefault="00274373" w:rsidP="00274373">
      <w:pPr>
        <w:pBdr>
          <w:bottom w:val="single" w:sz="6" w:space="1" w:color="auto"/>
        </w:pBdr>
        <w:rPr>
          <w:rFonts w:cs="Arial"/>
        </w:rPr>
      </w:pPr>
      <w:r w:rsidRPr="00274373">
        <w:rPr>
          <w:rFonts w:cs="Arial"/>
        </w:rPr>
        <w:t>Having considered the report of the Joint Inspection Unit on policies and practices in the use of the services of private management consulting firms in the organizations of the United Nations systemSee A/54/702. and the note by the Secretary-General transmitting his comments as well as those of the Administrative Committee on Coordination thereon,A/55/979.</w:t>
      </w:r>
    </w:p>
    <w:p w:rsidR="00274373" w:rsidRPr="00274373" w:rsidRDefault="00274373" w:rsidP="00274373">
      <w:pPr>
        <w:pBdr>
          <w:bottom w:val="single" w:sz="6" w:space="1" w:color="auto"/>
        </w:pBdr>
        <w:rPr>
          <w:rFonts w:cs="Arial"/>
        </w:rPr>
      </w:pPr>
      <w:r w:rsidRPr="00274373">
        <w:rPr>
          <w:rFonts w:cs="Arial"/>
        </w:rPr>
        <w:t>1. Endorses the elements contained in paragraphs (b) and (d) of recommendation 1, and recommendations 2, 3, 4 and 5 of the Joint Inspection Unit;See A/54/702.</w:t>
      </w:r>
    </w:p>
    <w:p w:rsidR="00274373" w:rsidRPr="00274373" w:rsidRDefault="00274373" w:rsidP="00274373">
      <w:pPr>
        <w:pBdr>
          <w:bottom w:val="single" w:sz="6" w:space="1" w:color="auto"/>
        </w:pBdr>
        <w:rPr>
          <w:rFonts w:cs="Arial"/>
        </w:rPr>
      </w:pPr>
      <w:r w:rsidRPr="00274373">
        <w:rPr>
          <w:rFonts w:cs="Arial"/>
        </w:rPr>
        <w:t>2. Invites the Secretary-General and participating organizations of the United Nations system, when addressing the issues raised in paragraphs (a) and (c) of recommendation 1, and in recommendations 6, 7 and 8 of the Unit and using the services of private management consulting firms, to take fully into account the relevant provisions of General Assembly resolutions 55/232 and 55/247.</w:t>
      </w:r>
    </w:p>
    <w:p w:rsidR="00D34A8D" w:rsidRDefault="00D34A8D" w:rsidP="00274373">
      <w:pPr>
        <w:pBdr>
          <w:bottom w:val="single" w:sz="6" w:space="1" w:color="auto"/>
        </w:pBdr>
      </w:pPr>
    </w:p>
    <w:p w:rsidR="00D34A8D" w:rsidRDefault="00D34A8D" w:rsidP="00D34A8D">
      <w:r>
        <w:br w:type="page"/>
      </w:r>
    </w:p>
    <w:p w:rsidR="00D34A8D" w:rsidRPr="00DF0E43" w:rsidRDefault="00D34A8D" w:rsidP="00D34A8D">
      <w:pPr>
        <w:rPr>
          <w:rFonts w:cs="Arial"/>
          <w:b/>
          <w:bCs/>
          <w:color w:val="0070C0"/>
        </w:rPr>
      </w:pPr>
      <w:r w:rsidRPr="00DF0E43">
        <w:rPr>
          <w:rFonts w:cs="Arial"/>
          <w:b/>
          <w:bCs/>
          <w:color w:val="0070C0"/>
        </w:rPr>
        <w:lastRenderedPageBreak/>
        <w:t>Document  4</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56/95</w:t>
      </w:r>
    </w:p>
    <w:p w:rsidR="00274373" w:rsidRPr="00274373" w:rsidRDefault="00274373" w:rsidP="00274373">
      <w:pPr>
        <w:pBdr>
          <w:bottom w:val="single" w:sz="6" w:space="1" w:color="auto"/>
        </w:pBdr>
        <w:rPr>
          <w:rFonts w:cs="Arial"/>
        </w:rPr>
      </w:pPr>
      <w:r w:rsidRPr="00274373">
        <w:rPr>
          <w:rFonts w:cs="Arial"/>
        </w:rPr>
        <w:t>Adopted at the 86th plenary meeting, on 14 December 2001, without a vote, on the basis of draft resolution A/56/L.48, submitted by the President of the General Assembly</w:t>
      </w:r>
    </w:p>
    <w:p w:rsidR="00274373" w:rsidRPr="00274373" w:rsidRDefault="00274373" w:rsidP="00274373">
      <w:pPr>
        <w:pBdr>
          <w:bottom w:val="single" w:sz="6" w:space="1" w:color="auto"/>
        </w:pBdr>
        <w:rPr>
          <w:rFonts w:cs="Arial"/>
        </w:rPr>
      </w:pPr>
      <w:r w:rsidRPr="00274373">
        <w:rPr>
          <w:rFonts w:cs="Arial"/>
        </w:rPr>
        <w:t>56/95. Follow-up to the outcome of the Millennium Summit</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Recalling its resolution 55/2 of 8 September 2000, by which it adopted the United Nations Millennium Declaration as the outcome of the Millennium Summit of the United Nations, held at Headquarters from 6 to 8 September 2000,</w:t>
      </w:r>
    </w:p>
    <w:p w:rsidR="00274373" w:rsidRPr="00274373" w:rsidRDefault="00274373" w:rsidP="00274373">
      <w:pPr>
        <w:pBdr>
          <w:bottom w:val="single" w:sz="6" w:space="1" w:color="auto"/>
        </w:pBdr>
        <w:rPr>
          <w:rFonts w:cs="Arial"/>
        </w:rPr>
      </w:pPr>
      <w:r w:rsidRPr="00274373">
        <w:rPr>
          <w:rFonts w:cs="Arial"/>
        </w:rPr>
        <w:t>Recalling also its resolution 55/162 of 14 December 2000, in which it, inter alia, requested the Secretary-General to prepare a long-term</w:t>
      </w:r>
    </w:p>
    <w:p w:rsidR="00274373" w:rsidRPr="00274373" w:rsidRDefault="00274373" w:rsidP="00274373">
      <w:pPr>
        <w:pBdr>
          <w:bottom w:val="single" w:sz="6" w:space="1" w:color="auto"/>
        </w:pBdr>
        <w:rPr>
          <w:rFonts w:cs="Arial"/>
        </w:rPr>
      </w:pPr>
      <w:r w:rsidRPr="00274373">
        <w:rPr>
          <w:rFonts w:cs="Arial"/>
        </w:rPr>
        <w:t>Reaffirming the need to maintain the will and momentum of the Millennium Summit, as well as the importance of a comprehensive and balanced approach in the implementation of and follow-up to the Millennium Declaration,</w:t>
      </w:r>
    </w:p>
    <w:p w:rsidR="00274373" w:rsidRPr="00274373" w:rsidRDefault="00274373" w:rsidP="00274373">
      <w:pPr>
        <w:pBdr>
          <w:bottom w:val="single" w:sz="6" w:space="1" w:color="auto"/>
        </w:pBdr>
        <w:rPr>
          <w:rFonts w:cs="Arial"/>
        </w:rPr>
      </w:pPr>
      <w:r w:rsidRPr="00274373">
        <w:rPr>
          <w:rFonts w:cs="Arial"/>
        </w:rPr>
        <w:t>1. Takes note with appreciation of the report of the Secretary-General entitled</w:t>
      </w:r>
    </w:p>
    <w:p w:rsidR="00274373" w:rsidRPr="00274373" w:rsidRDefault="00274373" w:rsidP="00274373">
      <w:pPr>
        <w:pBdr>
          <w:bottom w:val="single" w:sz="6" w:space="1" w:color="auto"/>
        </w:pBdr>
        <w:rPr>
          <w:rFonts w:cs="Arial"/>
        </w:rPr>
      </w:pPr>
      <w:r w:rsidRPr="00274373">
        <w:rPr>
          <w:rFonts w:cs="Arial"/>
        </w:rPr>
        <w:t>2. Recommends that the</w:t>
      </w:r>
    </w:p>
    <w:p w:rsidR="00274373" w:rsidRPr="00274373" w:rsidRDefault="00274373" w:rsidP="00274373">
      <w:pPr>
        <w:pBdr>
          <w:bottom w:val="single" w:sz="6" w:space="1" w:color="auto"/>
        </w:pBdr>
        <w:rPr>
          <w:rFonts w:cs="Arial"/>
        </w:rPr>
      </w:pPr>
      <w:r w:rsidRPr="00274373">
        <w:rPr>
          <w:rFonts w:cs="Arial"/>
        </w:rPr>
        <w:t>3. Requests the Secretary-General to prepare an annual report and a comprehensive report every five years on progress achieved by the United Nations system and Member States towards implementing the Millennium Declaration, drawing upon the</w:t>
      </w:r>
    </w:p>
    <w:p w:rsidR="00274373" w:rsidRPr="00274373" w:rsidRDefault="00274373" w:rsidP="00274373">
      <w:pPr>
        <w:pBdr>
          <w:bottom w:val="single" w:sz="6" w:space="1" w:color="auto"/>
        </w:pBdr>
        <w:rPr>
          <w:rFonts w:cs="Arial"/>
        </w:rPr>
      </w:pPr>
      <w:r w:rsidRPr="00274373">
        <w:rPr>
          <w:rFonts w:cs="Arial"/>
        </w:rPr>
        <w:t>4. Invites the United Nations system, in cooperation with Member States, to adopt specific measures to give widespread publicity to the Millennium Declaration and to increase the dissemination of information on the Declaration;</w:t>
      </w:r>
    </w:p>
    <w:p w:rsidR="00274373" w:rsidRPr="00274373" w:rsidRDefault="00274373" w:rsidP="00274373">
      <w:pPr>
        <w:pBdr>
          <w:bottom w:val="single" w:sz="6" w:space="1" w:color="auto"/>
        </w:pBdr>
        <w:rPr>
          <w:rFonts w:cs="Arial"/>
        </w:rPr>
      </w:pPr>
      <w:r w:rsidRPr="00274373">
        <w:rPr>
          <w:rFonts w:cs="Arial"/>
        </w:rPr>
        <w:t>5. Decides to include in the provisional agenda of its fifty-seventh session the item entitled</w:t>
      </w:r>
    </w:p>
    <w:p w:rsidR="00D34A8D" w:rsidRDefault="00D34A8D" w:rsidP="00274373">
      <w:pPr>
        <w:pBdr>
          <w:bottom w:val="single" w:sz="6" w:space="1" w:color="auto"/>
        </w:pBdr>
      </w:pPr>
    </w:p>
    <w:p w:rsidR="00D34A8D" w:rsidRDefault="00D34A8D" w:rsidP="00D34A8D">
      <w:pPr>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5</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57/32</w:t>
      </w:r>
    </w:p>
    <w:p w:rsidR="00274373" w:rsidRPr="00274373" w:rsidRDefault="00274373" w:rsidP="00274373">
      <w:pPr>
        <w:pBdr>
          <w:bottom w:val="single" w:sz="6" w:space="1" w:color="auto"/>
        </w:pBdr>
        <w:rPr>
          <w:rFonts w:cs="Arial"/>
        </w:rPr>
      </w:pPr>
      <w:r w:rsidRPr="00274373">
        <w:rPr>
          <w:rFonts w:cs="Arial"/>
        </w:rPr>
        <w:t>Adopted at the 52nd plenary meeting, on 19 November 2002, without a vote, on the recommendation of the Committee (A/57/574, para. 7)The draft resolution recommended in the report was sponsored in the Committee by: Algeria, Andorra, Argentina, Armenia, Austria, Bangladesh, Belarus, Belgium, Benin, Bolivia, Brazil, Burkina Faso, Cameroon, Canada, Chile, Cuba, Cyprus, Czech Republic, Denmark, Finland, France, Germany, Greece, Guatemala, Hungary, Iran (Islamic Republic of), Ireland, Italy, Japan, Lithuania, Luxembourg, Malaysia, Mali, Malta, Monaco, Morocco, Namibia, Nepal, Netherlands, New Zealand, Nigeria, Norway, Philippines, Poland, Portugal, Romania, Senegal, Slovakia, South Africa, Sudan, Sweden, Switzerland, Thailand, Uganda, Ukraine, United Kingdom of Great Britain and Northern Ireland, Uruguay, Venezuela and Viet Nam.</w:t>
      </w:r>
    </w:p>
    <w:p w:rsidR="00274373" w:rsidRPr="00274373" w:rsidRDefault="00274373" w:rsidP="00274373">
      <w:pPr>
        <w:pBdr>
          <w:bottom w:val="single" w:sz="6" w:space="1" w:color="auto"/>
        </w:pBdr>
        <w:rPr>
          <w:rFonts w:cs="Arial"/>
        </w:rPr>
      </w:pPr>
      <w:r w:rsidRPr="00274373">
        <w:rPr>
          <w:rFonts w:cs="Arial"/>
        </w:rPr>
        <w:t>57/32. Observer status for the Inter-Parliamentary Union in the General Assembly</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Recalling its decision 49/426 of 9 December 1994,</w:t>
      </w:r>
    </w:p>
    <w:p w:rsidR="00274373" w:rsidRPr="00274373" w:rsidRDefault="00274373" w:rsidP="00274373">
      <w:pPr>
        <w:pBdr>
          <w:bottom w:val="single" w:sz="6" w:space="1" w:color="auto"/>
        </w:pBdr>
        <w:rPr>
          <w:rFonts w:cs="Arial"/>
        </w:rPr>
      </w:pPr>
      <w:r w:rsidRPr="00274373">
        <w:rPr>
          <w:rFonts w:cs="Arial"/>
        </w:rPr>
        <w:t>Considering the unique status of the Inter-Parliamentary Union as a world organization of parliaments,</w:t>
      </w:r>
    </w:p>
    <w:p w:rsidR="00274373" w:rsidRPr="00274373" w:rsidRDefault="00274373" w:rsidP="00274373">
      <w:pPr>
        <w:pBdr>
          <w:bottom w:val="single" w:sz="6" w:space="1" w:color="auto"/>
        </w:pBdr>
        <w:rPr>
          <w:rFonts w:cs="Arial"/>
        </w:rPr>
      </w:pPr>
      <w:r w:rsidRPr="00274373">
        <w:rPr>
          <w:rFonts w:cs="Arial"/>
        </w:rPr>
        <w:t>Wishing to promote cooperation between the United Nations and the Inter-Parliamentary Union,</w:t>
      </w:r>
    </w:p>
    <w:p w:rsidR="00274373" w:rsidRPr="00274373" w:rsidRDefault="00274373" w:rsidP="00274373">
      <w:pPr>
        <w:pBdr>
          <w:bottom w:val="single" w:sz="6" w:space="1" w:color="auto"/>
        </w:pBdr>
        <w:rPr>
          <w:rFonts w:cs="Arial"/>
        </w:rPr>
      </w:pPr>
      <w:r w:rsidRPr="00274373">
        <w:rPr>
          <w:rFonts w:cs="Arial"/>
        </w:rPr>
        <w:t>1. Decides to invite the Inter-Parliamentary Union to participate in the sessions and the work of the General Assembly in the capacity of observer;</w:t>
      </w:r>
    </w:p>
    <w:p w:rsidR="00274373" w:rsidRPr="00274373" w:rsidRDefault="00274373" w:rsidP="00274373">
      <w:pPr>
        <w:pBdr>
          <w:bottom w:val="single" w:sz="6" w:space="1" w:color="auto"/>
        </w:pBdr>
        <w:rPr>
          <w:rFonts w:cs="Arial"/>
        </w:rPr>
      </w:pPr>
      <w:r w:rsidRPr="00274373">
        <w:rPr>
          <w:rFonts w:cs="Arial"/>
        </w:rPr>
        <w:t>2. Requests the Secretary-General to take the necessary action to implement the present resolution.</w:t>
      </w:r>
    </w:p>
    <w:p w:rsidR="00D34A8D" w:rsidRDefault="00D34A8D" w:rsidP="00274373">
      <w:pPr>
        <w:pBdr>
          <w:bottom w:val="single" w:sz="6" w:space="1" w:color="auto"/>
        </w:pBdr>
      </w:pPr>
    </w:p>
    <w:p w:rsidR="00D34A8D" w:rsidRDefault="00D34A8D" w:rsidP="00D34A8D">
      <w:pPr>
        <w:bidi/>
      </w:pPr>
    </w:p>
    <w:p w:rsidR="00D34A8D" w:rsidRDefault="00D34A8D" w:rsidP="00D34A8D">
      <w:pPr>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6</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58/152</w:t>
      </w:r>
    </w:p>
    <w:p w:rsidR="00274373" w:rsidRPr="00274373" w:rsidRDefault="00274373" w:rsidP="00274373">
      <w:pPr>
        <w:pBdr>
          <w:bottom w:val="single" w:sz="6" w:space="1" w:color="auto"/>
        </w:pBdr>
        <w:rPr>
          <w:rFonts w:cs="Arial"/>
        </w:rPr>
      </w:pPr>
      <w:r w:rsidRPr="00274373">
        <w:rPr>
          <w:rFonts w:cs="Arial"/>
        </w:rPr>
        <w:t>Adopted at the 77th plenary meeting, on 22 December 2003, without a vote, on the recommendation of the Committee (A/58/503, para. 34)The draft resolution recommended in the report was sponsored in the Committee by: Cameroon, Egypt, Ethiopia, Kenya, Niger, Nigeria, Sierra Leone, Somalia, Sudan, Zambia and Zimbabwe.</w:t>
      </w:r>
    </w:p>
    <w:p w:rsidR="00274373" w:rsidRPr="00274373" w:rsidRDefault="00274373" w:rsidP="00274373">
      <w:pPr>
        <w:pBdr>
          <w:bottom w:val="single" w:sz="6" w:space="1" w:color="auto"/>
        </w:pBdr>
        <w:rPr>
          <w:rFonts w:cs="Arial"/>
        </w:rPr>
      </w:pPr>
      <w:r w:rsidRPr="00274373">
        <w:rPr>
          <w:rFonts w:cs="Arial"/>
        </w:rPr>
        <w:t>58/152. Enlargement of the Executive Committee of the Programme of the United Nations High Commissioner for Refugees</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Taking note of Economic and Social Council decisions 2003/285 and 2003/286 of 24 July 2003 concerning the enlargement of the Executive Committee of the Programme of the United Nations High Commissioner for Refugees,</w:t>
      </w:r>
    </w:p>
    <w:p w:rsidR="00274373" w:rsidRPr="00274373" w:rsidRDefault="00274373" w:rsidP="00274373">
      <w:pPr>
        <w:pBdr>
          <w:bottom w:val="single" w:sz="6" w:space="1" w:color="auto"/>
        </w:pBdr>
        <w:rPr>
          <w:rFonts w:cs="Arial"/>
        </w:rPr>
      </w:pPr>
      <w:r w:rsidRPr="00274373">
        <w:rPr>
          <w:rFonts w:cs="Arial"/>
        </w:rPr>
        <w:t>Taking note also of the requests regarding the enlargement of the Executive Committee contained in the letter dated 23 September 2002 from the Permanent Representative of Egypt to the United Nations addressed to the Secretary-GeneralE/2003/3. and the note verbale dated 25 April 2003 from the Permanent Mission of Zambia to the United Nations Office at Geneva addressed to the Secretary-General,E/2003/77.</w:t>
      </w:r>
    </w:p>
    <w:p w:rsidR="00274373" w:rsidRPr="00274373" w:rsidRDefault="00274373" w:rsidP="00274373">
      <w:pPr>
        <w:pBdr>
          <w:bottom w:val="single" w:sz="6" w:space="1" w:color="auto"/>
        </w:pBdr>
        <w:rPr>
          <w:rFonts w:cs="Arial"/>
        </w:rPr>
      </w:pPr>
      <w:r w:rsidRPr="00274373">
        <w:rPr>
          <w:rFonts w:cs="Arial"/>
        </w:rPr>
        <w:t>1. Decides to increase the number of members of the Executive Committee of the Programme of the United Nations High Commissioner for Refugees from sixty-four to sixty-six States;</w:t>
      </w:r>
    </w:p>
    <w:p w:rsidR="00274373" w:rsidRPr="00274373" w:rsidRDefault="00274373" w:rsidP="00274373">
      <w:pPr>
        <w:pBdr>
          <w:bottom w:val="single" w:sz="6" w:space="1" w:color="auto"/>
        </w:pBdr>
        <w:rPr>
          <w:rFonts w:cs="Arial"/>
        </w:rPr>
      </w:pPr>
      <w:r w:rsidRPr="00274373">
        <w:rPr>
          <w:rFonts w:cs="Arial"/>
        </w:rPr>
        <w:t>2. Requests the Economic and Social Council to elect the additional members at its resumed organizational session for 2004.</w:t>
      </w:r>
    </w:p>
    <w:p w:rsidR="00D34A8D" w:rsidRDefault="00D34A8D" w:rsidP="00274373">
      <w:pPr>
        <w:pBdr>
          <w:bottom w:val="single" w:sz="6" w:space="1" w:color="auto"/>
        </w:pBdr>
        <w:rPr>
          <w:rFonts w:cs="Arial"/>
        </w:rPr>
      </w:pPr>
    </w:p>
    <w:p w:rsidR="00D34A8D" w:rsidRPr="005A2373" w:rsidRDefault="00D34A8D" w:rsidP="00D34A8D">
      <w:pPr>
        <w:rPr>
          <w:rFonts w:cs="Arial"/>
          <w:rtl/>
        </w:rPr>
      </w:pPr>
      <w:r>
        <w:rPr>
          <w:rFonts w:cs="Arial"/>
        </w:rPr>
        <w:br w:type="page"/>
      </w:r>
    </w:p>
    <w:p w:rsidR="00D34A8D" w:rsidRPr="00DF0E43" w:rsidRDefault="00D34A8D" w:rsidP="00D34A8D">
      <w:pPr>
        <w:rPr>
          <w:rFonts w:cs="Arial"/>
          <w:b/>
          <w:bCs/>
          <w:color w:val="0070C0"/>
        </w:rPr>
      </w:pPr>
      <w:r w:rsidRPr="00DF0E43">
        <w:rPr>
          <w:rFonts w:cs="Arial"/>
          <w:b/>
          <w:bCs/>
          <w:color w:val="0070C0"/>
        </w:rPr>
        <w:lastRenderedPageBreak/>
        <w:t>Document  7</w:t>
      </w:r>
      <w:r w:rsidRPr="00DF0E43">
        <w:rPr>
          <w:rFonts w:cs="Arial"/>
          <w:b/>
          <w:bCs/>
          <w:color w:val="0070C0"/>
        </w:rPr>
        <w:tab/>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58/256</w:t>
      </w:r>
    </w:p>
    <w:p w:rsidR="00274373" w:rsidRPr="00274373" w:rsidRDefault="00274373" w:rsidP="00274373">
      <w:pPr>
        <w:pBdr>
          <w:bottom w:val="single" w:sz="6" w:space="1" w:color="auto"/>
        </w:pBdr>
        <w:rPr>
          <w:rFonts w:cs="Arial"/>
        </w:rPr>
      </w:pPr>
      <w:r w:rsidRPr="00274373">
        <w:rPr>
          <w:rFonts w:cs="Arial"/>
        </w:rPr>
        <w:t>Adopted at the 79th plenary meeting, on 23 December 2003, without a vote, on the recommendation of the Committee (A/58/581, para. 6)The draft resolution recommended in the report was submitted by the Chairman of the Committee.</w:t>
      </w:r>
    </w:p>
    <w:p w:rsidR="00274373" w:rsidRPr="00274373" w:rsidRDefault="00274373" w:rsidP="00274373">
      <w:pPr>
        <w:pBdr>
          <w:bottom w:val="single" w:sz="6" w:space="1" w:color="auto"/>
        </w:pBdr>
        <w:rPr>
          <w:rFonts w:cs="Arial"/>
        </w:rPr>
      </w:pPr>
      <w:r w:rsidRPr="00274373">
        <w:rPr>
          <w:rFonts w:cs="Arial"/>
        </w:rPr>
        <w:t>58/256. Scale of assessments for the apportionment of the expenses of United Nations peacekeeping operations</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Recalling its resolutions 55/235 and 55/236 of 23 December 2000,</w:t>
      </w:r>
    </w:p>
    <w:p w:rsidR="00274373" w:rsidRPr="00274373" w:rsidRDefault="00274373" w:rsidP="00274373">
      <w:pPr>
        <w:pBdr>
          <w:bottom w:val="single" w:sz="6" w:space="1" w:color="auto"/>
        </w:pBdr>
        <w:rPr>
          <w:rFonts w:cs="Arial"/>
        </w:rPr>
      </w:pPr>
      <w:r w:rsidRPr="00274373">
        <w:rPr>
          <w:rFonts w:cs="Arial"/>
        </w:rPr>
        <w:t>Recalling also its request to the Secretary-General in its resolution 55/235 to update the composition of the levels of contribution of Member States for peacekeeping operations described therein on a triennial basis, in conjunction with the regular budget scale of assessment reviews, in accordance with the criteria established in the resolution, and to report thereon to the General Assembly,</w:t>
      </w:r>
    </w:p>
    <w:p w:rsidR="00274373" w:rsidRPr="00274373" w:rsidRDefault="00274373" w:rsidP="00274373">
      <w:pPr>
        <w:pBdr>
          <w:bottom w:val="single" w:sz="6" w:space="1" w:color="auto"/>
        </w:pBdr>
        <w:rPr>
          <w:rFonts w:cs="Arial"/>
        </w:rPr>
      </w:pPr>
      <w:r w:rsidRPr="00274373">
        <w:rPr>
          <w:rFonts w:cs="Arial"/>
        </w:rPr>
        <w:t>Having considered the report of the Secretary-General on the implementation of its resolutions 55/235 and 55/236,A/58/157 and Add.1.</w:t>
      </w:r>
    </w:p>
    <w:p w:rsidR="00274373" w:rsidRPr="00274373" w:rsidRDefault="00274373" w:rsidP="00274373">
      <w:pPr>
        <w:pBdr>
          <w:bottom w:val="single" w:sz="6" w:space="1" w:color="auto"/>
        </w:pBdr>
        <w:rPr>
          <w:rFonts w:cs="Arial"/>
        </w:rPr>
      </w:pPr>
      <w:r w:rsidRPr="00274373">
        <w:rPr>
          <w:rFonts w:cs="Arial"/>
        </w:rPr>
        <w:t>1. Takes note of the report of the Secretary-GeneralA/58/157 and Add.1. and of the updated composition of levels of contribution for peacekeeping operations for the period 2004 to 2006 contained therein;</w:t>
      </w:r>
    </w:p>
    <w:p w:rsidR="00274373" w:rsidRPr="00274373" w:rsidRDefault="00274373" w:rsidP="00274373">
      <w:pPr>
        <w:pBdr>
          <w:bottom w:val="single" w:sz="6" w:space="1" w:color="auto"/>
        </w:pBdr>
        <w:rPr>
          <w:rFonts w:cs="Arial"/>
        </w:rPr>
      </w:pPr>
      <w:r w:rsidRPr="00274373">
        <w:rPr>
          <w:rFonts w:cs="Arial"/>
        </w:rPr>
        <w:t>2. Endorses the updated composition of levels of contribution for peacekeeping operations for the period 2004 to 2006 contained in the addendum to the report of the Secretary-General;A/58/157/Add.1, annex.</w:t>
      </w:r>
    </w:p>
    <w:p w:rsidR="00274373" w:rsidRPr="00274373" w:rsidRDefault="00274373" w:rsidP="00274373">
      <w:pPr>
        <w:pBdr>
          <w:bottom w:val="single" w:sz="6" w:space="1" w:color="auto"/>
        </w:pBdr>
        <w:rPr>
          <w:rFonts w:cs="Arial"/>
        </w:rPr>
      </w:pPr>
      <w:r w:rsidRPr="00274373">
        <w:rPr>
          <w:rFonts w:cs="Arial"/>
        </w:rPr>
        <w:t>3. Requests the Secretary-General to report to the General Assembly at its sixty-first session on the updating of the composition of levels of contribution for peacekeeping operations for the period 2007 to 2009, in accordance with the provisions of resolution 55/235.</w:t>
      </w:r>
    </w:p>
    <w:p w:rsidR="00D34A8D" w:rsidRDefault="00D34A8D" w:rsidP="00274373">
      <w:pPr>
        <w:pBdr>
          <w:bottom w:val="single" w:sz="6" w:space="1" w:color="auto"/>
        </w:pBdr>
      </w:pPr>
    </w:p>
    <w:p w:rsidR="00D34A8D" w:rsidRDefault="00D34A8D" w:rsidP="00D34A8D">
      <w:pPr>
        <w:bidi/>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8</w:t>
      </w:r>
      <w:r w:rsidRPr="00DF0E43">
        <w:rPr>
          <w:rFonts w:cs="Arial"/>
          <w:b/>
          <w:bCs/>
          <w:color w:val="0070C0"/>
        </w:rPr>
        <w:tab/>
      </w:r>
      <w:r w:rsidRPr="00DF0E43">
        <w:rPr>
          <w:rFonts w:cs="Arial"/>
          <w:b/>
          <w:bCs/>
          <w:color w:val="0070C0"/>
        </w:rPr>
        <w:tab/>
      </w:r>
      <w:r w:rsidRPr="00DF0E43">
        <w:rPr>
          <w:rFonts w:cs="Arial"/>
          <w:b/>
          <w:bCs/>
          <w:color w:val="0070C0"/>
        </w:rPr>
        <w:tab/>
      </w:r>
    </w:p>
    <w:p w:rsidR="00274373" w:rsidRPr="00274373" w:rsidRDefault="00274373" w:rsidP="00274373">
      <w:pPr>
        <w:pBdr>
          <w:bottom w:val="single" w:sz="6" w:space="1" w:color="auto"/>
        </w:pBdr>
        <w:rPr>
          <w:rFonts w:cs="Arial"/>
        </w:rPr>
      </w:pPr>
      <w:r w:rsidRPr="00274373">
        <w:rPr>
          <w:rFonts w:cs="Arial"/>
        </w:rPr>
        <w:t>RESOLUTION 58/276</w:t>
      </w:r>
    </w:p>
    <w:p w:rsidR="00274373" w:rsidRPr="00274373" w:rsidRDefault="00274373" w:rsidP="00274373">
      <w:pPr>
        <w:pBdr>
          <w:bottom w:val="single" w:sz="6" w:space="1" w:color="auto"/>
        </w:pBdr>
        <w:rPr>
          <w:rFonts w:cs="Arial"/>
        </w:rPr>
      </w:pPr>
      <w:r w:rsidRPr="00274373">
        <w:rPr>
          <w:rFonts w:cs="Arial"/>
        </w:rPr>
        <w:t>Adopted at the 79th plenary meeting, on 23 December 2003, without a vote, on the recommendation of the Committee (A/58/571, para. 14)The draft resolution recommended in the report was submitted by the Chairman of the Committee.</w:t>
      </w:r>
    </w:p>
    <w:p w:rsidR="00274373" w:rsidRPr="00274373" w:rsidRDefault="00274373" w:rsidP="00274373">
      <w:pPr>
        <w:pBdr>
          <w:bottom w:val="single" w:sz="6" w:space="1" w:color="auto"/>
        </w:pBdr>
        <w:rPr>
          <w:rFonts w:cs="Arial"/>
        </w:rPr>
      </w:pPr>
      <w:r w:rsidRPr="00274373">
        <w:rPr>
          <w:rFonts w:cs="Arial"/>
        </w:rPr>
        <w:t>58/276. Outsourcing practices</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Recalling its resolutions 54/256 of 7 April 2000 and 55/232 of 23 December 2000,</w:t>
      </w:r>
    </w:p>
    <w:p w:rsidR="00274373" w:rsidRPr="00274373" w:rsidRDefault="00274373" w:rsidP="00274373">
      <w:pPr>
        <w:pBdr>
          <w:bottom w:val="single" w:sz="6" w:space="1" w:color="auto"/>
        </w:pBdr>
        <w:rPr>
          <w:rFonts w:cs="Arial"/>
        </w:rPr>
      </w:pPr>
      <w:r w:rsidRPr="00274373">
        <w:rPr>
          <w:rFonts w:cs="Arial"/>
        </w:rPr>
        <w:t>Having considered the report of the Secretary-General on outsourcing practicesA/57/185. and the related report of the Advisory Committee on Administrative and Budgetary Questions,Official Records of the General Assembly, Fifty-seventh Session, Supplement No. 7 (A/57/7 and Add.1-27), document A/57/7/Add.1, paras. 10 and 11.</w:t>
      </w:r>
    </w:p>
    <w:p w:rsidR="00274373" w:rsidRPr="00274373" w:rsidRDefault="00274373" w:rsidP="00274373">
      <w:pPr>
        <w:pBdr>
          <w:bottom w:val="single" w:sz="6" w:space="1" w:color="auto"/>
        </w:pBdr>
        <w:rPr>
          <w:rFonts w:cs="Arial"/>
        </w:rPr>
      </w:pPr>
      <w:r w:rsidRPr="00274373">
        <w:rPr>
          <w:rFonts w:cs="Arial"/>
        </w:rPr>
        <w:t>1. Takes note of the report of the Secretary-General;A/57/185.</w:t>
      </w:r>
    </w:p>
    <w:p w:rsidR="00274373" w:rsidRPr="00274373" w:rsidRDefault="00274373" w:rsidP="00274373">
      <w:pPr>
        <w:pBdr>
          <w:bottom w:val="single" w:sz="6" w:space="1" w:color="auto"/>
        </w:pBdr>
        <w:rPr>
          <w:rFonts w:cs="Arial"/>
        </w:rPr>
      </w:pPr>
      <w:r w:rsidRPr="00274373">
        <w:rPr>
          <w:rFonts w:cs="Arial"/>
        </w:rPr>
        <w:t>2. Endorses the recommendations contained in paragraphs 10 and 11 of the report of the Advisory Committee on Administrative and Budgetary Questions;Official Records of the General Assembly, Fifty-seventh Session, Supplement No. 7 (A/57/7 and Add.1-27), document A/57/7/Add.1, paras. 10 and 11.</w:t>
      </w:r>
    </w:p>
    <w:p w:rsidR="00274373" w:rsidRPr="00274373" w:rsidRDefault="00274373" w:rsidP="00274373">
      <w:pPr>
        <w:pBdr>
          <w:bottom w:val="single" w:sz="6" w:space="1" w:color="auto"/>
        </w:pBdr>
        <w:rPr>
          <w:rFonts w:cs="Arial"/>
        </w:rPr>
      </w:pPr>
      <w:r w:rsidRPr="00274373">
        <w:rPr>
          <w:rFonts w:cs="Arial"/>
        </w:rPr>
        <w:t>3. Requests the Secretary-General to report to the General Assembly at its fifty-ninth session on the implementation of the provisions of its resolution 55/232 and on activities outsourced during the years 2002 and 2003, including information on the location and type of outsourced activities and more detailed reasoning therefor.</w:t>
      </w:r>
    </w:p>
    <w:p w:rsidR="00D34A8D" w:rsidRDefault="00D34A8D" w:rsidP="00274373">
      <w:pPr>
        <w:pBdr>
          <w:bottom w:val="single" w:sz="6" w:space="1" w:color="auto"/>
        </w:pBdr>
        <w:rPr>
          <w:rFonts w:cs="Arial"/>
        </w:rPr>
      </w:pPr>
    </w:p>
    <w:p w:rsidR="00D34A8D" w:rsidRPr="005A2373" w:rsidRDefault="00D34A8D" w:rsidP="00D34A8D">
      <w:pPr>
        <w:bidi/>
        <w:rPr>
          <w:rFonts w:cs="Arial"/>
        </w:rPr>
      </w:pPr>
    </w:p>
    <w:p w:rsidR="00D34A8D" w:rsidRDefault="00D34A8D" w:rsidP="00D34A8D">
      <w:pPr>
        <w:rPr>
          <w:rFonts w:cs="Arial"/>
        </w:rPr>
      </w:pPr>
    </w:p>
    <w:p w:rsidR="00D34A8D" w:rsidRDefault="00D34A8D" w:rsidP="00D34A8D">
      <w:pPr>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9</w:t>
      </w:r>
    </w:p>
    <w:p w:rsidR="00274373" w:rsidRPr="00274373" w:rsidRDefault="00274373" w:rsidP="00274373">
      <w:pPr>
        <w:pBdr>
          <w:bottom w:val="single" w:sz="6" w:space="1" w:color="auto"/>
        </w:pBdr>
        <w:rPr>
          <w:rFonts w:cs="Arial"/>
        </w:rPr>
      </w:pPr>
      <w:r w:rsidRPr="00274373">
        <w:rPr>
          <w:rFonts w:cs="Arial"/>
        </w:rPr>
        <w:t>RESOLUTION 58/279</w:t>
      </w:r>
    </w:p>
    <w:p w:rsidR="00274373" w:rsidRPr="00274373" w:rsidRDefault="00274373" w:rsidP="00274373">
      <w:pPr>
        <w:pBdr>
          <w:bottom w:val="single" w:sz="6" w:space="1" w:color="auto"/>
        </w:pBdr>
        <w:rPr>
          <w:rFonts w:cs="Arial"/>
        </w:rPr>
      </w:pPr>
      <w:r w:rsidRPr="00274373">
        <w:rPr>
          <w:rFonts w:cs="Arial"/>
        </w:rPr>
        <w:t>Adopted at the 79th plenary meeting, on 23 December 2003, without a vote, on the recommendation of the Committee (A/58/571, para. 14)The draft resolution recommended in the report was submitted by the Chairman of the Committee.</w:t>
      </w:r>
    </w:p>
    <w:p w:rsidR="00274373" w:rsidRPr="00274373" w:rsidRDefault="00274373" w:rsidP="00274373">
      <w:pPr>
        <w:pBdr>
          <w:bottom w:val="single" w:sz="6" w:space="1" w:color="auto"/>
        </w:pBdr>
        <w:rPr>
          <w:rFonts w:cs="Arial"/>
        </w:rPr>
      </w:pPr>
      <w:r w:rsidRPr="00274373">
        <w:rPr>
          <w:rFonts w:cs="Arial"/>
        </w:rPr>
        <w:t>58/279. Report of the Office of Internal Oversight Services on the audit of the Investment Management Service of the United Nations Joint Staff Pension Fund</w:t>
      </w:r>
    </w:p>
    <w:p w:rsidR="00274373" w:rsidRPr="00274373" w:rsidRDefault="00274373" w:rsidP="00274373">
      <w:pPr>
        <w:pBdr>
          <w:bottom w:val="single" w:sz="6" w:space="1" w:color="auto"/>
        </w:pBdr>
        <w:rPr>
          <w:rFonts w:cs="Arial"/>
        </w:rPr>
      </w:pPr>
      <w:r w:rsidRPr="00274373">
        <w:rPr>
          <w:rFonts w:cs="Arial"/>
        </w:rPr>
        <w:t>The General Assembly,</w:t>
      </w:r>
    </w:p>
    <w:p w:rsidR="00274373" w:rsidRPr="00274373" w:rsidRDefault="00274373" w:rsidP="00274373">
      <w:pPr>
        <w:pBdr>
          <w:bottom w:val="single" w:sz="6" w:space="1" w:color="auto"/>
        </w:pBdr>
        <w:rPr>
          <w:rFonts w:cs="Arial"/>
        </w:rPr>
      </w:pPr>
      <w:r w:rsidRPr="00274373">
        <w:rPr>
          <w:rFonts w:cs="Arial"/>
        </w:rPr>
        <w:t>Recalling its resolutions 48/218 B of 29 July 1994 and 54/244 of 23 December 1999,</w:t>
      </w:r>
    </w:p>
    <w:p w:rsidR="00274373" w:rsidRPr="00274373" w:rsidRDefault="00274373" w:rsidP="00274373">
      <w:pPr>
        <w:pBdr>
          <w:bottom w:val="single" w:sz="6" w:space="1" w:color="auto"/>
        </w:pBdr>
        <w:rPr>
          <w:rFonts w:cs="Arial"/>
        </w:rPr>
      </w:pPr>
      <w:r w:rsidRPr="00274373">
        <w:rPr>
          <w:rFonts w:cs="Arial"/>
        </w:rPr>
        <w:t>Having considered the report of the Office of Internal Oversight Services on the audit of the Investment Management Service of the United Nations Joint Staff Pension Fund,See A/58/81.</w:t>
      </w:r>
    </w:p>
    <w:p w:rsidR="00274373" w:rsidRPr="00274373" w:rsidRDefault="00274373" w:rsidP="00274373">
      <w:pPr>
        <w:pBdr>
          <w:bottom w:val="single" w:sz="6" w:space="1" w:color="auto"/>
        </w:pBdr>
        <w:rPr>
          <w:rFonts w:cs="Arial"/>
        </w:rPr>
      </w:pPr>
      <w:r w:rsidRPr="00274373">
        <w:rPr>
          <w:rFonts w:cs="Arial"/>
        </w:rPr>
        <w:t>1. Takes note of the report of the Office of Internal Oversight Services on the audit of the Investment Management Service of the United Nations Joint Staff Pension Fund;See A/58/81.</w:t>
      </w:r>
    </w:p>
    <w:p w:rsidR="00274373" w:rsidRPr="00274373" w:rsidRDefault="00274373" w:rsidP="00274373">
      <w:pPr>
        <w:pBdr>
          <w:bottom w:val="single" w:sz="6" w:space="1" w:color="auto"/>
        </w:pBdr>
        <w:rPr>
          <w:rFonts w:cs="Arial"/>
        </w:rPr>
      </w:pPr>
      <w:r w:rsidRPr="00274373">
        <w:rPr>
          <w:rFonts w:cs="Arial"/>
        </w:rPr>
        <w:t>2. Notes with concern the findings of the Office of Internal Oversight Services on problem areas in the functioning, administration and accountability mechanisms of the Investment Management Service;</w:t>
      </w:r>
    </w:p>
    <w:p w:rsidR="00274373" w:rsidRPr="00274373" w:rsidRDefault="00274373" w:rsidP="00274373">
      <w:pPr>
        <w:pBdr>
          <w:bottom w:val="single" w:sz="6" w:space="1" w:color="auto"/>
        </w:pBdr>
        <w:rPr>
          <w:rFonts w:cs="Arial"/>
        </w:rPr>
      </w:pPr>
      <w:r w:rsidRPr="00274373">
        <w:rPr>
          <w:rFonts w:cs="Arial"/>
        </w:rPr>
        <w:t>3. Requests the Secretary-General to ensure that all the recommendations of the Office of Internal Oversight Services contained in its report are fully and expeditiously implemented and to submit a report thereon to the General Assembly at its resumed fifty-eighth session.</w:t>
      </w:r>
    </w:p>
    <w:p w:rsidR="00D34A8D" w:rsidRPr="00E5371B" w:rsidRDefault="00D34A8D" w:rsidP="00274373">
      <w:pPr>
        <w:pBdr>
          <w:bottom w:val="single" w:sz="6" w:space="1" w:color="auto"/>
        </w:pBdr>
        <w:rPr>
          <w:rFonts w:cs="Arial"/>
        </w:rPr>
      </w:pPr>
    </w:p>
    <w:p w:rsidR="00D34A8D" w:rsidRDefault="00D34A8D" w:rsidP="00D34A8D">
      <w:pPr>
        <w:bidi/>
        <w:rPr>
          <w:rFonts w:cs="Arial"/>
        </w:rPr>
      </w:pPr>
    </w:p>
    <w:p w:rsidR="00D34A8D" w:rsidRDefault="00D34A8D" w:rsidP="00D34A8D">
      <w:pPr>
        <w:rPr>
          <w:rtl/>
        </w:rPr>
      </w:pPr>
      <w:r>
        <w:rPr>
          <w:rtl/>
        </w:rPr>
        <w:br w:type="page"/>
      </w:r>
    </w:p>
    <w:p w:rsidR="00D34A8D" w:rsidRPr="00DF0E43" w:rsidRDefault="00D34A8D" w:rsidP="00D34A8D">
      <w:pPr>
        <w:rPr>
          <w:rFonts w:cs="Arial"/>
          <w:b/>
          <w:bCs/>
          <w:color w:val="0070C0"/>
        </w:rPr>
      </w:pPr>
      <w:r w:rsidRPr="00DF0E43">
        <w:rPr>
          <w:rFonts w:cs="Arial"/>
          <w:b/>
          <w:bCs/>
          <w:color w:val="0070C0"/>
        </w:rPr>
        <w:lastRenderedPageBreak/>
        <w:t>Document  10</w:t>
      </w:r>
    </w:p>
    <w:p w:rsidR="00274373" w:rsidRDefault="00274373" w:rsidP="00274373">
      <w:pPr>
        <w:pBdr>
          <w:bottom w:val="single" w:sz="6" w:space="1" w:color="auto"/>
        </w:pBdr>
      </w:pPr>
      <w:r>
        <w:t>RESOLUTION 62/123</w:t>
      </w:r>
    </w:p>
    <w:p w:rsidR="00274373" w:rsidRDefault="00274373" w:rsidP="00274373">
      <w:pPr>
        <w:pBdr>
          <w:bottom w:val="single" w:sz="6" w:space="1" w:color="auto"/>
        </w:pBdr>
      </w:pPr>
      <w:r>
        <w:t>Adopted at the 76th plenary meeting, on 18 December 2007, without a vote, on the recommendation of the Committee (A/62/431, para. 17)The draft resolution recommended in the report was sponsored in the Committee by: Benin, Bosnia and Herzegovina, Côte d'Ivoire, Cyprus, Ecuador, Egypt, Japan, Lebanon, Luxembourg, Montenegro, Romania and the former Yugoslav Republic of Macedonia.</w:t>
      </w:r>
    </w:p>
    <w:p w:rsidR="00274373" w:rsidRDefault="00274373" w:rsidP="00274373">
      <w:pPr>
        <w:pBdr>
          <w:bottom w:val="single" w:sz="6" w:space="1" w:color="auto"/>
        </w:pBdr>
      </w:pPr>
      <w:r>
        <w:t>62/123. Enlargement of the Executive Committee of the Programme of the United Nations High Commissioner for Refugees</w:t>
      </w:r>
    </w:p>
    <w:p w:rsidR="00274373" w:rsidRDefault="00274373" w:rsidP="00274373">
      <w:pPr>
        <w:pBdr>
          <w:bottom w:val="single" w:sz="6" w:space="1" w:color="auto"/>
        </w:pBdr>
      </w:pPr>
      <w:r>
        <w:t>The General Assembly,</w:t>
      </w:r>
    </w:p>
    <w:p w:rsidR="00274373" w:rsidRDefault="00274373" w:rsidP="00274373">
      <w:pPr>
        <w:pBdr>
          <w:bottom w:val="single" w:sz="6" w:space="1" w:color="auto"/>
        </w:pBdr>
      </w:pPr>
      <w:r>
        <w:t>Taking note of Economic and Social Council decision 2007/254 of 26 July 2007 concerning the enlargement of the Executive Committee of the Programme of the United Nations High Commissioner for Refugees,</w:t>
      </w:r>
    </w:p>
    <w:p w:rsidR="00274373" w:rsidRDefault="00274373" w:rsidP="00274373">
      <w:pPr>
        <w:pBdr>
          <w:bottom w:val="single" w:sz="6" w:space="1" w:color="auto"/>
        </w:pBdr>
      </w:pPr>
      <w:r>
        <w:t>Taking note also of the requests regarding the enlargement of the Executive Committee contained in the letter dated 29 November 2006 from the Permanent Representative of Benin to the United Nations addressed to the Secretary-General,E/2006/92. the letter dated 8 January 2007 from the Permanent Representative of Luxembourg to the United Nations addressed to the Secretary-General,E/2007/11. the letter dated 28 June 2007 from the Permanent Representative of the former Yugoslav Republic of Macedonia to the United Nations addressed to the Secretary-GeneralE/2007/85. and the note verbale dated 10 May 2007 from the Permanent Mission of Montenegro to the United Nations addressed to the Secretary-General,E/2007/86.</w:t>
      </w:r>
    </w:p>
    <w:p w:rsidR="00274373" w:rsidRDefault="00274373" w:rsidP="00274373">
      <w:pPr>
        <w:pBdr>
          <w:bottom w:val="single" w:sz="6" w:space="1" w:color="auto"/>
        </w:pBdr>
      </w:pPr>
      <w:r>
        <w:t>1. Decides to increase the number of members of the Executive Committee of the Programme of the United Nations High Commissioner for Refugees from seventy-two to seventy-six States;</w:t>
      </w:r>
    </w:p>
    <w:p w:rsidR="00274373" w:rsidRDefault="00274373" w:rsidP="00274373">
      <w:pPr>
        <w:pBdr>
          <w:bottom w:val="single" w:sz="6" w:space="1" w:color="auto"/>
        </w:pBdr>
      </w:pPr>
      <w:r>
        <w:t>2. Requests the Economic and Social Council to elect the additional members at its resumed organizational session for 2008.</w:t>
      </w:r>
    </w:p>
    <w:p w:rsidR="00D34A8D" w:rsidRDefault="00D34A8D" w:rsidP="00274373">
      <w:pPr>
        <w:pBdr>
          <w:bottom w:val="single" w:sz="6" w:space="1" w:color="auto"/>
        </w:pBdr>
      </w:pPr>
    </w:p>
    <w:p w:rsidR="00D34A8D" w:rsidRDefault="00D34A8D" w:rsidP="00D34A8D">
      <w:pPr>
        <w:bidi/>
      </w:pPr>
    </w:p>
    <w:p w:rsidR="00875CDC" w:rsidRDefault="00345F73"/>
    <w:sectPr w:rsidR="00875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8D"/>
    <w:rsid w:val="00274373"/>
    <w:rsid w:val="00345F73"/>
    <w:rsid w:val="00733858"/>
    <w:rsid w:val="00813692"/>
    <w:rsid w:val="008F6A3E"/>
    <w:rsid w:val="00B20C73"/>
    <w:rsid w:val="00D34A8D"/>
    <w:rsid w:val="00DD5E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El-Haj, Mahmoud</dc:creator>
  <cp:lastModifiedBy>El-Haj, Mahmoud</cp:lastModifiedBy>
  <cp:revision>5</cp:revision>
  <dcterms:created xsi:type="dcterms:W3CDTF">2015-08-23T14:02:00Z</dcterms:created>
  <dcterms:modified xsi:type="dcterms:W3CDTF">2015-08-26T12:10:00Z</dcterms:modified>
</cp:coreProperties>
</file>