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Предложение по доработке препринта — черновик на согласование</w:t>
      </w:r>
    </w:p>
    <w:p>
      <w:pPr>
        <w:jc w:val="center"/>
      </w:pPr>
      <w:r>
        <w:rPr>
          <w:i/>
        </w:rPr>
        <w:t>Для д-ра Томаса Дж. Бакхольца · препринт v6 (preprints202511.0598.v6)</w:t>
      </w:r>
    </w:p>
    <w:p>
      <w:r>
        <w:rPr>
          <w:b/>
          <w:color w:val="1F4E79"/>
          <w:sz w:val="28"/>
        </w:rPr>
        <w:t>Сопроводительная записка</w:t>
      </w:r>
    </w:p>
    <w:p>
      <w:r>
        <w:t>Уважаемый д-р Бакхольц,</w:t>
      </w:r>
    </w:p>
    <w:p>
      <w:r>
        <w:t>Я взял на себя инициативу: изучил, как структурированы сопоставимые препринты по физике элементарных частиц, независимо перепроверил числовые соотношения вашего препринта v6 (каждое число воспроизводится запускаемым скриптом) и подготовил предложение по доработке.</w:t>
      </w:r>
    </w:p>
    <w:p>
      <w:r>
        <w:t>Это ЧЕРНОВИК для совместной работы, а не готовый вердикт — вы можете править его прямо в этом файле.</w:t>
      </w:r>
    </w:p>
    <w:p>
      <w:r>
        <w:t>Что внутри: (1) сравнительная таблица «было → предлагаем → почему», где «почему» опирается на то, за что рецензенты обычно заворачивают работу; (2) открытые вопросы, отмеченные явно, чтобы решить их вместе; (3) краткий список того, что я уже проверил и на чём предложение стоит.</w:t>
      </w:r>
    </w:p>
    <w:p>
      <w:r>
        <w:t>Ключевая рекомендация: разделить материал на (А) короткую строгую заметку о проверенных массовых соотношениях — она ничего не оверклеймит и имеет реальный шанс пройти рецензию; и (Б) программную статью о космологии MULTING, где открытые вопросы честно обозначены как направление работы.</w:t>
      </w:r>
    </w:p>
    <w:p>
      <w:r>
        <w:t>С уважением,</w:t>
        <w:br/>
        <w:t>Сергей Бойко · Ronin Institute</w:t>
      </w:r>
    </w:p>
    <w:p>
      <w:r>
        <w:rPr>
          <w:b/>
          <w:color w:val="1F4E79"/>
          <w:sz w:val="28"/>
        </w:rPr>
        <w:t>1. Сравнительная таблица изменений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</w:rPr>
              <w:t>Было (v6)</w:t>
            </w:r>
          </w:p>
        </w:tc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</w:rPr>
              <w:t>Предлагаем</w:t>
            </w:r>
          </w:p>
        </w:tc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</w:rPr>
              <w:t>Почему</w:t>
            </w:r>
          </w:p>
        </w:tc>
      </w:tr>
      <w:tr>
        <w:tc>
          <w:tcPr>
            <w:tcW w:type="dxa" w:w="2880"/>
          </w:tcPr>
          <w:p>
            <w:r>
              <w:t>9+ таблиц; уравнения внутри ячеек таблиц.</w:t>
            </w:r>
          </w:p>
        </w:tc>
        <w:tc>
          <w:tcPr>
            <w:tcW w:type="dxa" w:w="2880"/>
          </w:tcPr>
          <w:p>
            <w:r>
              <w:t>Уравнения вынесены в отдельные нумерованные формулы; таблицы — только для данных.</w:t>
            </w:r>
          </w:p>
        </w:tc>
        <w:tc>
          <w:tcPr>
            <w:tcW w:type="dxa" w:w="2880"/>
          </w:tcPr>
          <w:p>
            <w:r>
              <w:t>Рецензент должен видеть формулу сразу, а не искать её в ячейке. «Скрытые» уравнения читаются как недостаток строгости.</w:t>
            </w:r>
          </w:p>
        </w:tc>
      </w:tr>
      <w:tr>
        <w:tc>
          <w:tcPr>
            <w:tcW w:type="dxa" w:w="2880"/>
          </w:tcPr>
          <w:p>
            <w:r>
              <w:t>Структура нестандартная; раздел «Authority that our work suggests».</w:t>
            </w:r>
          </w:p>
        </w:tc>
        <w:tc>
          <w:tcPr>
            <w:tcW w:type="dxa" w:w="2880"/>
          </w:tcPr>
          <w:p>
            <w:r>
              <w:t>Стандартная структура: Аннотация → Введение → Формализм → Результаты → Обсуждение (ограничения) → Выводы.</w:t>
            </w:r>
          </w:p>
        </w:tc>
        <w:tc>
          <w:tcPr>
            <w:tcW w:type="dxa" w:w="2880"/>
          </w:tcPr>
          <w:p>
            <w:r>
              <w:t>Рецензенты HATE: нестандартная подача и формулировки, звучащие как заявка на «авторитет». LOVE: знакомый каркас, по которому легко судить работу.</w:t>
            </w:r>
          </w:p>
        </w:tc>
      </w:tr>
      <w:tr>
        <w:tc>
          <w:tcPr>
            <w:tcW w:type="dxa" w:w="2880"/>
          </w:tcPr>
          <w:p>
            <w:r>
              <w:t>Термины MESI / IDM / OM / MULTING без определений при первом упоминании.</w:t>
            </w:r>
          </w:p>
        </w:tc>
        <w:tc>
          <w:tcPr>
            <w:tcW w:type="dxa" w:w="2880"/>
          </w:tcPr>
          <w:p>
            <w:r>
              <w:t>Каждый термин определяется при первом упоминании; жаргон минимизирован.</w:t>
            </w:r>
          </w:p>
        </w:tc>
        <w:tc>
          <w:tcPr>
            <w:tcW w:type="dxa" w:w="2880"/>
          </w:tcPr>
          <w:p>
            <w:r>
              <w:t>Читаемость — первое, на чём заворачивают. Незнакомый жаргон без определений создаёт барьер уже на 1-й странице.</w:t>
            </w:r>
          </w:p>
        </w:tc>
      </w:tr>
      <w:tr>
        <w:tc>
          <w:tcPr>
            <w:tcW w:type="dxa" w:w="2880"/>
          </w:tcPr>
          <w:p>
            <w:r>
              <w:t>Проверяемые соотношения и спекулятивная космология идут вместе.</w:t>
            </w:r>
          </w:p>
        </w:tc>
        <w:tc>
          <w:tcPr>
            <w:tcW w:type="dxa" w:w="2880"/>
          </w:tcPr>
          <w:p>
            <w:r>
              <w:t>Раздел А — Проверенное (Eq.32, 7:9:17, спектр фермионов). Раздел Б — Программа (космология, β).</w:t>
            </w:r>
          </w:p>
        </w:tc>
        <w:tc>
          <w:tcPr>
            <w:tcW w:type="dxa" w:w="2880"/>
          </w:tcPr>
          <w:p>
            <w:r>
              <w:t>Рецензенты LOVE честное отделение крепкого от спекулятивного. Сильный результат не должен тонуть рядом с незакрытыми гипотезами.</w:t>
            </w:r>
          </w:p>
        </w:tc>
      </w:tr>
      <w:tr>
        <w:tc>
          <w:tcPr>
            <w:tcW w:type="dxa" w:w="2880"/>
          </w:tcPr>
          <w:p>
            <w:r>
              <w:t>β_d, β_q вводятся как данность (формулы 18–20).</w:t>
            </w:r>
          </w:p>
        </w:tc>
        <w:tc>
          <w:tcPr>
            <w:tcW w:type="dxa" w:w="2880"/>
          </w:tcPr>
          <w:p>
            <w:r>
              <w:t>β вынесены в явный блок «Открытый вопрос» с нашим Fisher-анализом неидентифицируемости.</w:t>
            </w:r>
          </w:p>
        </w:tc>
        <w:tc>
          <w:tcPr>
            <w:tcW w:type="dxa" w:w="2880"/>
          </w:tcPr>
          <w:p>
            <w:r>
              <w:t>Рецензенты HATE скрытые/подгоночные параметры. Честное «это открытый вопрос + вот анализ» сильнее, чем подача параметра как известного.</w:t>
            </w:r>
          </w:p>
        </w:tc>
      </w:tr>
      <w:tr>
        <w:tc>
          <w:tcPr>
            <w:tcW w:type="dxa" w:w="2880"/>
          </w:tcPr>
          <w:p>
            <w:r>
              <w:t>Числа без воспроизводимого источника.</w:t>
            </w:r>
          </w:p>
        </w:tc>
        <w:tc>
          <w:tcPr>
            <w:tcW w:type="dxa" w:w="2880"/>
          </w:tcPr>
          <w:p>
            <w:r>
              <w:t>Каждое число — со ссылкой на запускаемый скрипт (verify_all_claims.py и др.); код в открытом репозитории.</w:t>
            </w:r>
          </w:p>
        </w:tc>
        <w:tc>
          <w:tcPr>
            <w:tcW w:type="dxa" w:w="2880"/>
          </w:tcPr>
          <w:p>
            <w:r>
              <w:t>Рецензенты LOVE воспроизводимость (GitHub). Это снимает половину придирок «откуда число?» до того, как они заданы.</w:t>
            </w:r>
          </w:p>
        </w:tc>
      </w:tr>
    </w:tbl>
    <w:p>
      <w:r>
        <w:rPr>
          <w:b/>
          <w:color w:val="1F4E79"/>
          <w:sz w:val="28"/>
        </w:rPr>
        <w:t>2. Открытые вопросы — решаем вместе</w:t>
      </w:r>
    </w:p>
    <w:p>
      <w:r>
        <w:t>Это не замалчивается, а выносится явно. По уровню серьёзности для рецензента (🔴 CRITICAL — без ответа возможен отказ):</w:t>
      </w:r>
    </w:p>
    <w:p>
      <w:r>
        <w:rPr>
          <w:b/>
        </w:rPr>
        <w:t>🔴 Лагранжиан / действие для силового закона F_oP</w:t>
      </w:r>
    </w:p>
    <w:p>
      <w:r>
        <w:t>Сейчас закон постулируется по аналогии с электромагнетизмом. Рецензент спросит: «покажите вывод из действия или ссылку». Предложение: честно обозначить как открытый вопрос и отнести в раздел Б (программа).</w:t>
      </w:r>
    </w:p>
    <w:p>
      <w:r>
        <w:rPr>
          <w:b/>
        </w:rPr>
        <w:t>🔴 Вывод β_d, β_q из первых принципов</w:t>
      </w:r>
    </w:p>
    <w:p>
      <w:r>
        <w:t>Сейчас 2 свободных параметра. Наш Fisher-анализ: они не идентифицируются из Table A1. Предложение: пометить как open question; показать анализ — это честнее и сильнее.</w:t>
      </w:r>
    </w:p>
    <w:p>
      <w:r>
        <w:rPr>
          <w:b/>
        </w:rPr>
        <w:t>🔴 Аналитический мост F_oP → H(z)</w:t>
      </w:r>
    </w:p>
    <w:p>
      <w:r>
        <w:t>Явного вывода нет (Приложение A.1 — процедура, не вывод). Предложение: обозначить H(z) как феноменологическое следствие, а не предсказание теории.</w:t>
      </w:r>
    </w:p>
    <w:p>
      <w:r>
        <w:rPr>
          <w:b/>
          <w:color w:val="1F4E79"/>
          <w:sz w:val="28"/>
        </w:rPr>
        <w:t>3. Что уже проверено (на чём стоит предложение)</w:t>
      </w:r>
    </w:p>
    <w:p>
      <w:pPr>
        <w:pStyle w:val="ListBullet"/>
      </w:pPr>
      <w:r>
        <w:t>Eq.32 (4/3)(m_τ/m_e)¹² = α_EM/α_G: отклонение 0.0135% (0.17σ); степень 12 уникальна (1 из 5040 простых комбинаций); соотношение не найдено в литературе. Скрипт: verify_all_claims.py.</w:t>
      </w:r>
    </w:p>
    <w:p>
      <w:pPr>
        <w:pStyle w:val="ListBullet"/>
      </w:pPr>
      <w:r>
        <w:t>7:9:17 (m_W²:m_Z²:m_H²): держится &lt;0.05%; в scale-free форме m_W/m_H=√(7/17) не зависит от якоря; предсказывает тяжёлый W (совместимо только с CDF-II/CMS, χ²=2.0; исключает лёгкий, χ²=39) — фальсифицируемый дискриминатор W-аномалии. Скрипт: c6_mass_preference.py.</w:t>
      </w:r>
    </w:p>
    <w:p>
      <w:pPr>
        <w:pStyle w:val="ListBullet"/>
      </w:pPr>
      <w:r>
        <w:t>Спектр фермионов (Eq.21–24): мюон 0.47%, геометрические средние кварков &lt;0.31% (PDG 2024). Скрипт: idm_masses.py.</w:t>
      </w:r>
    </w:p>
    <w:p>
      <w:pPr>
        <w:pStyle w:val="ListBullet"/>
      </w:pPr>
      <w:r>
        <w:t>N_opt = ω_cdm/ω_b = 5.366: отклонение от целого 5 равно 5.67σ (исправлена ошибка в формуле погрешности: было ~259σ из-за несоответствия единиц).</w:t>
      </w:r>
    </w:p>
    <w:p/>
    <w:p>
      <w:r>
        <w:rPr>
          <w:i/>
        </w:rPr>
        <w:t>Черновик подготовлен на основе протоколов рецензентской защиты и pre-submission QA (Ronin Institute). Английская версия — по запросу.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