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Audit — Findings and Constructive Directions for the MULTING/IDM Framework</w:t>
      </w:r>
    </w:p>
    <w:p>
      <w:r>
        <w:rPr>
          <w:b/>
        </w:rPr>
        <w:t>Prepared for:</w:t>
      </w:r>
      <w:r>
        <w:t xml:space="preserve"> Dr. Thomas J. Buckholtz</w:t>
      </w:r>
    </w:p>
    <w:p>
      <w:r>
        <w:rPr>
          <w:b/>
        </w:rPr>
        <w:t>Prepared by:</w:t>
      </w:r>
      <w:r>
        <w:t xml:space="preserve"> Sergey Boyko (Ronin Institute) — independent numerical audit</w:t>
      </w:r>
    </w:p>
    <w:p>
      <w:r>
        <w:rPr>
          <w:b/>
        </w:rPr>
        <w:t>Regarding:</w:t>
      </w:r>
      <w:r>
        <w:t xml:space="preserve"> </w:t>
      </w:r>
      <w:r>
        <w:rPr>
          <w:i/>
        </w:rPr>
        <w:t>Gravitational and Dark-Matter Concepts that Can Help Explain and Predict Cosmic Data</w:t>
      </w:r>
      <w:r>
        <w:t>, preprints202511.0598.v6</w:t>
      </w:r>
    </w:p>
    <w:p>
      <w:r>
        <w:rPr>
          <w:b/>
        </w:rPr>
        <w:t>Date:</w:t>
      </w:r>
      <w:r>
        <w:t xml:space="preserve"> 2026-07-09</w:t>
      </w:r>
    </w:p>
    <w:p>
      <w:r>
        <w:rPr>
          <w:b/>
        </w:rPr>
        <w:t>Note:</w:t>
      </w:r>
      <w:r>
        <w:t xml:space="preserve"> All numerical results below are </w:t>
      </w:r>
      <w:r>
        <w:rPr>
          <w:b/>
        </w:rPr>
        <w:t>our independent reconstruction</w:t>
      </w:r>
      <w:r>
        <w:t>, not derivations attributed to you. This document neither validates nor refutes the framework; it reports what an independent check and the specialist literature say about it.</w:t>
      </w:r>
    </w:p>
    <w:p>
      <w:pPr>
        <w:pStyle w:val="Heading1"/>
      </w:pPr>
      <w:r>
        <w:t>Purpose</w:t>
      </w:r>
    </w:p>
    <w:p>
      <w:r>
        <w:t>Dear Dr. Buckholtz,</w:t>
      </w:r>
    </w:p>
    <w:p>
      <w:r>
        <w:t>Before anything else, I want to be candid about my position in writing this. I undertook this independent check out of sincere respect for the originality and the ambition of your work, and I do not find it easy to point to gaps in the work of someone whose thinking I hold in such high regard. I share what follows only because I take the framework seriously and hope to be genuinely useful to its next stage — never to sit in judgment of it.</w:t>
      </w:r>
    </w:p>
    <w:p>
      <w:r>
        <w:t>This note summarizes what an independent numerical audit of v6, cross-checked against eight specialist papers, has established. I have organized it to state first what independently holds, then the open questions a referee is most likely to raise, then concrete tools from the literature that may address them, and finally a path toward publication. My intent is to be useful to the next draft, not to adjudicate the physics.</w:t>
      </w:r>
    </w:p>
    <w:p>
      <w:pPr>
        <w:pStyle w:val="Heading1"/>
      </w:pPr>
      <w:r>
        <w:t>1. What independently holds</w:t>
      </w:r>
    </w:p>
    <w:p>
      <w:r>
        <w:t>Several results survived independent checking and are, in my view, the load-bearing strengths of the framework. I state them first because they are substantial:</w:t>
      </w:r>
    </w:p>
    <w:p>
      <w:pPr>
        <w:ind w:left="432"/>
      </w:pPr>
      <w:r>
        <w:t xml:space="preserve">1. </w:t>
      </w:r>
      <w:r>
        <w:rPr>
          <w:b/>
        </w:rPr>
        <w:t>Eq. (32).</w:t>
      </w:r>
      <w:r>
        <w:t xml:space="preserve"> The relation (4/3)(m_τ/m_e)¹² = α_EM/α_G reproduces to 0.061% (1.0σ against the current PDG 2024 tau-mass uncertainty), and under a scan of 83,160 candidate formulas it ranks first (p ≈ 6×10⁻⁵); allowing the reference mass itself to float over all eleven candidate masses does not weaken this at all — Eq. (32) remains the unique rank-1 candidate in an equally large pooled search (p ≈ 1×10⁻⁵). This is the single most striking result. (An earlier draft of this note quoted 0.0135% / 0.17σ, based on a PDG-2022-era tau mass, 1776.86 ± 0.12 MeV, that we had mislabeled "PDG 2024"; the current PDG value is 1776.93 ± 0.09 MeV. The relation survives the correction comfortably, and is if anything a cleaner result under it — a candidate that had briefly appeared to edge it out in the floating-reference search turns out to have relied on the same stale top-quark mass, and is no longer competitive under current data.)</w:t>
      </w:r>
    </w:p>
    <w:p>
      <w:pPr>
        <w:ind w:left="432"/>
      </w:pPr>
      <w:r>
        <w:t xml:space="preserve">2. </w:t>
      </w:r>
      <w:r>
        <w:rPr>
          <w:b/>
        </w:rPr>
        <w:t>The 7:9:17 boson relation.</w:t>
      </w:r>
      <w:r>
        <w:t xml:space="preserve"> The scale-free ratio m_W/m_H = √(7/17) holds to 0.04%, and the Higgs ratio agrees at 0.4σ (the heavier Z ratio shows a larger tension, addressed among the open questions).</w:t>
      </w:r>
    </w:p>
    <w:p>
      <w:pPr>
        <w:ind w:left="432"/>
      </w:pPr>
      <w:r>
        <w:t xml:space="preserve">3. </w:t>
      </w:r>
      <w:r>
        <w:rPr>
          <w:b/>
        </w:rPr>
        <w:t>The charged-lepton and quark mass relations</w:t>
      </w:r>
      <w:r>
        <w:t xml:space="preserve"> (Eqs. 21–24) are reproduced to within roughly half a percent (muon 0.47%, quarks &lt; 0.31%).</w:t>
      </w:r>
    </w:p>
    <w:p>
      <w:pPr>
        <w:ind w:left="432"/>
      </w:pPr>
      <w:r>
        <w:t xml:space="preserve">4. </w:t>
      </w:r>
      <w:r>
        <w:rPr>
          <w:b/>
        </w:rPr>
        <w:t>Five dark isomers.</w:t>
      </w:r>
      <w:r>
        <w:t xml:space="preserve"> The postulate N = 5 is consistent with the DESI DR1 measurement (5.36 versus 5.31, 0.46σ), and — notably — it was stated before that data existed.</w:t>
      </w:r>
    </w:p>
    <w:p>
      <w:pPr>
        <w:ind w:left="432"/>
      </w:pPr>
      <w:r>
        <w:t xml:space="preserve">5. </w:t>
      </w:r>
      <w:r>
        <w:rPr>
          <w:b/>
        </w:rPr>
        <w:t>The Cassini bound</w:t>
      </w:r>
      <w:r>
        <w:t xml:space="preserve"> is satisfied.</w:t>
      </w:r>
    </w:p>
    <w:p>
      <w:pPr>
        <w:ind w:left="432"/>
      </w:pPr>
      <w:r>
        <w:t xml:space="preserve">6. </w:t>
      </w:r>
      <w:r>
        <w:rPr>
          <w:b/>
        </w:rPr>
        <w:t>The "second gravitational property"</w:t>
      </w:r>
      <w:r>
        <w:t xml:space="preserve"> is a genuinely novel proposal: an independent literature search found no equivalent, and it occupies precisely the regime where a leading competing approach (Verlinde's entropic gravity) is known to fail at cluster scales.</w:t>
      </w:r>
    </w:p>
    <w:p>
      <w:r>
        <w:t>Several of these would, on their own, amount to a paper's worth of result.</w:t>
      </w:r>
    </w:p>
    <w:p>
      <w:pPr>
        <w:pStyle w:val="Heading1"/>
      </w:pPr>
      <w:r>
        <w:t>2. Open questions and limits, stated up front</w:t>
      </w:r>
    </w:p>
    <w:p>
      <w:r>
        <w:t>These are the points I would expect a desk editor or referee to press first. Naming them plainly is, in my view, the strongest way to disarm them.</w:t>
      </w:r>
    </w:p>
    <w:p>
      <w:pPr>
        <w:ind w:left="432"/>
      </w:pPr>
      <w:r>
        <w:t xml:space="preserve">1. </w:t>
      </w:r>
      <w:r>
        <w:rPr>
          <w:b/>
        </w:rPr>
        <w:t>The dipole is degenerate with ΛCDM at first order — and the second-order window is quantitatively constrained.</w:t>
      </w:r>
      <w:r>
        <w:t xml:space="preserve"> Our reconstruction finds the dipole contribution indistinguishable from ΛCDM at linear order (ΔAIC ≈ +0.74). This is </w:t>
      </w:r>
      <w:r>
        <w:rPr>
          <w:i/>
        </w:rPr>
        <w:t>not</w:t>
      </w:r>
      <w:r>
        <w:t xml:space="preserve"> a weakness unique to MULTING: Blanchet and Le Tiec proved the same for any gravitationally-polarizable dipolar medium. Distinction appears only at </w:t>
      </w:r>
      <w:r>
        <w:rPr>
          <w:b/>
        </w:rPr>
        <w:t>second order</w:t>
      </w:r>
      <w:r>
        <w:t xml:space="preserve"> (CMB non-Gaussianity, non-linear structure growth). However, Planck already bounds the primordial dipole in that regime to </w:t>
      </w:r>
      <w:r>
        <w:rPr>
          <w:b/>
        </w:rPr>
        <w:t>s_eq ≲ 1.5×10⁻³ H⁻¹</w:t>
      </w:r>
      <w:r>
        <w:t xml:space="preserve"> (Blanchet 2013, from Planck non-Gaussianity). A revision that states this bound and shows MULTING is compatible with it would pre-empt the strongest cosmological objection.</w:t>
      </w:r>
    </w:p>
    <w:p>
      <w:pPr>
        <w:ind w:left="432"/>
      </w:pPr>
      <w:r>
        <w:t xml:space="preserve">2. </w:t>
      </w:r>
      <w:r>
        <w:rPr>
          <w:b/>
        </w:rPr>
        <w:t>A known instability of dipolar media.</w:t>
      </w:r>
      <w:r>
        <w:t xml:space="preserve"> The Blanchet–Le Tiec dipolar model carries an instability with exponentially growing modes, marginally safe only because its timescale (τ_g ≈ 6×10¹⁰ yr) exceeds the age of the Universe. If MULTING's dipole is analogous, a brief demonstration that it does not develop a faster-growing mode would be valuable.</w:t>
      </w:r>
    </w:p>
    <w:p>
      <w:pPr>
        <w:ind w:left="432"/>
      </w:pPr>
      <w:r>
        <w:t xml:space="preserve">3. </w:t>
      </w:r>
      <w:r>
        <w:rPr>
          <w:b/>
        </w:rPr>
        <w:t>The dipole/quadrupole coefficients β_d, β_q are not identifiable from the tabulated data.</w:t>
      </w:r>
      <w:r>
        <w:t xml:space="preserve"> Our reconstruction (across three independent AI services, Birge ratios 15.9 and 24.1; spread up to 95×) indicates β cannot be recovered from Table A1 alone. This aligns with your own description of the computation as phenomenological. A revision that presents β explicitly as phenomenological/first-principles-pending — rather than as a value inferred from data — would be both accurate and defensible.</w:t>
      </w:r>
    </w:p>
    <w:p>
      <w:pPr>
        <w:ind w:left="432"/>
      </w:pPr>
      <w:r>
        <w:t xml:space="preserve">4. </w:t>
      </w:r>
      <w:r>
        <w:rPr>
          <w:b/>
        </w:rPr>
        <w:t>The growth-rate correspondence is with a model, not yet with data.</w:t>
      </w:r>
      <w:r>
        <w:t xml:space="preserve"> Our ε(z)–fσ8 shape correlation (r = 0.851) is against a ΛCDM </w:t>
      </w:r>
      <w:r>
        <w:rPr>
          <w:i/>
        </w:rPr>
        <w:t>model</w:t>
      </w:r>
      <w:r>
        <w:t xml:space="preserve"> curve; observed RSD fσ8 is nearly flat and reliable only to z ≲ 1.4 (the recent DESI DR1 peculiar-velocity anchor gives fσ8 = 0.44 at z = 0.07, ΛCDM-consistent). I would frame this as a structural correspondence and an open question, not as observational support.</w:t>
      </w:r>
    </w:p>
    <w:p>
      <w:pPr>
        <w:ind w:left="432"/>
      </w:pPr>
      <w:r>
        <w:t xml:space="preserve">5. </w:t>
      </w:r>
      <w:r>
        <w:rPr>
          <w:b/>
        </w:rPr>
        <w:t>The 4/3 coefficient and a MULTING action principle remain open.</w:t>
      </w:r>
      <w:r>
        <w:t xml:space="preserve"> These are hard, long-horizon items — of the same class as the four-decade-open Koide derivation — and are best presented as such. I would add that our own check found the 4/3 coefficient to be underived in each of the three adjacent traditions where one might expect it: SU(3) flavour symmetry (Sumino, Singh), the geometric Koide interpretation (Foot), and the Dirac large-numbers / α_G-coincidence lineage. Presenting it explicitly as a genuinely open — rather than overlooked — problem is, in my view, a strength: it signals to a referee that the numerical relation has been checked against the natural derivations and that none yet accounts for it.</w:t>
      </w:r>
    </w:p>
    <w:p>
      <w:pPr>
        <w:ind w:left="432"/>
      </w:pPr>
      <w:r>
        <w:t xml:space="preserve">6. </w:t>
      </w:r>
      <w:r>
        <w:rPr>
          <w:b/>
        </w:rPr>
        <w:t>The full multipole formula underperforms a zero-parameter monopole baseline against real cluster catalogs.</w:t>
      </w:r>
      <w:r>
        <w:t xml:space="preserve"> Testing H_MULTING(z) against 27 Moresco cosmic-chronometer points, using real MCXC cluster masses and radii with PSZ2 thermal-energy proxies (n = 443 pairs), the tabulated β_d = 4.5, β_q = 18.0 gives r = 0.62 — but a zero-parameter monopole-only version (β_d = β_q = 0, plain Newtonian mass/D² scaling, no MULTING structure at all) gives r = 0.73, and both are beaten by ΛCDM (r = 0.88) and even a naive H₀(1+z)^α curve (r = 0.89). The gap between monopole-only and the tabulated fit is significant (Fisher z = 3.05, p = 0.0012). We repeated this on a near-Malmquist-bias-free XMM subsample with real spectroscopic temperatures (n = 22, Rossetti et al. 2024), and the same pattern holds (r = 0.91 trivial vs. r = 0.70 MULTING), which argues against selection bias as the sole explanation. This connects directly to point 3 above: the three AI-service β pairs are not only numerically inconsistent, they land on opposite sides of a sharp saturation threshold in β_q (around 10) that determines whether the resulting fit is near-optimal or degraded — so the apparent fit quality for any one service's β values may owe more to which side of that threshold it landed on than to a genuine best fit. The positive sign throughout (r &gt; 0 in every test) is consistent with the qualitative MULTING prediction. What remains open is whether the dipole/quadrupole structure itself improves on Newtonian scaling for real clusters, or whether the thermal-energy proxy used here is simply a noisier tracer of the expansion trend than mass alone — the test as constructed cannot yet distinguish the two.</w:t>
      </w:r>
    </w:p>
    <w:p>
      <w:pPr>
        <w:pStyle w:val="Heading1"/>
      </w:pPr>
      <w:r>
        <w:t>3. Tools from the literature you may find useful</w:t>
      </w:r>
    </w:p>
    <w:p>
      <w:pPr>
        <w:ind w:left="432"/>
      </w:pPr>
      <w:r>
        <w:t xml:space="preserve">1. </w:t>
      </w:r>
      <w:r>
        <w:rPr>
          <w:b/>
        </w:rPr>
        <w:t>A candidate template for a MULTING action principle (your key open item).</w:t>
      </w:r>
      <w:r>
        <w:t xml:space="preserve"> Blanchet &amp; Le Tiec (2008, arXiv:0804.3518) give a </w:t>
      </w:r>
      <w:r>
        <w:rPr>
          <w:b/>
        </w:rPr>
        <w:t>covariant action in general relativity for a gravitationally-polarizable dipolar medium endowed with a dipole moment vector</w:t>
      </w:r>
      <w:r>
        <w:t xml:space="preserve"> — formally the same class of object as your dipole term. It may serve as a starting point from which a MULTING action could be developed. The adaptation is, of course, yours to make; I offer it only as an existing formalism aimed at exactly the gap that an independent reading identifies as the framework's key open problem — the absence of an action principle. A very recent development is directly relevant: Blanchet &amp; Seraille (2025, arXiv:2507.02563) attempt to derive the dipolar-dark-matter model from a fundamental non-Abelian SU(2) Yang-Mills field. It is worth noting both its success — it yields the relation Λ ∼ a₀²/c⁴ connecting the cosmological constant to the MOND acceleration scale — and its present limitation: the scale a₀ comes out dependent on galaxy-formation conditions rather than universal. This is the live frontier of the dipolar-dark-matter programme, and the a₀-universality gap may be precisely where a MULTING treatment could contribute.</w:t>
      </w:r>
    </w:p>
    <w:p>
      <w:pPr>
        <w:ind w:left="432"/>
      </w:pPr>
      <w:r>
        <w:t xml:space="preserve">2. </w:t>
      </w:r>
      <w:r>
        <w:rPr>
          <w:b/>
        </w:rPr>
        <w:t>Real growth-rate data for an honest out-of-sample test.</w:t>
      </w:r>
      <w:r>
        <w:t xml:space="preserve"> The DESI DR1 peculiar-velocity growth-rate measurement (Qin et al., arXiv:2512.03231) and the broader S₈-tension picture (arXiv:2602.12238) provide measured fσ8 against which a MULTING prediction — once a bridge exists — could be tested directly rather than against a ΛCDM curve.</w:t>
      </w:r>
    </w:p>
    <w:p>
      <w:pPr>
        <w:pStyle w:val="Heading1"/>
      </w:pPr>
      <w:r>
        <w:t>4. Independent support your results already enjoy</w:t>
      </w:r>
    </w:p>
    <w:p>
      <w:pPr>
        <w:ind w:left="432"/>
      </w:pPr>
      <w:r>
        <w:t xml:space="preserve">1. </w:t>
      </w:r>
      <w:r>
        <w:rPr>
          <w:b/>
        </w:rPr>
        <w:t>Eq. (32) rests on three pillars that an independent program arrived at separately.</w:t>
      </w:r>
      <w:r>
        <w:t xml:space="preserve"> Bhatta, Mondal, Vaibhav, and Singh (arXiv:2108.05787) derive charged-fermion mass ratios from the exceptional Jordan algebra J₃(𝕆), and the integers central to your Eq. (32) — J₃(𝕆) (dimension 27), the integer 12, and a "coupling constant of gravity" linking fermion mass to gravitation — all appear there independently. This does not derive Eq. (32) (their 12 counts eigenvalues; yours is an exponent), but it is independent evidence that the algebraic objects your coefficient rests on are the natural ones for fermion masses.</w:t>
      </w:r>
    </w:p>
    <w:p>
      <w:pPr>
        <w:ind w:left="432"/>
      </w:pPr>
      <w:r>
        <w:t xml:space="preserve">2. </w:t>
      </w:r>
      <w:r>
        <w:rPr>
          <w:b/>
        </w:rPr>
        <w:t>Your look-elsewhere discipline is standard practice.</w:t>
      </w:r>
      <w:r>
        <w:t xml:space="preserve"> In our reconstruction, Eq. (32) ranks first among 83,160 candidate formulas (p ≈ 6×10⁻⁵), and remains rank first (p ≈ 1×10⁻⁵) in an equally large search that also lets the reference mass float. A recent Koide paper (Hübner, arXiv:2605.09651) defends its own numerical relation with exactly this method (rank 6/756 in its fermion-only trial set). The approach is well-precedented; a revision that reports the look-elsewhere rank explicitly would strengthen the "not numerology" case.</w:t>
      </w:r>
    </w:p>
    <w:p>
      <w:pPr>
        <w:pStyle w:val="Heading1"/>
      </w:pPr>
      <w:r>
        <w:t>5. A path toward journal publication for v6</w:t>
      </w:r>
    </w:p>
    <w:p>
      <w:r>
        <w:t>Respectfully, and drawing on the audit above, I would like to offer some thoughts on placement. A common experience for a broad single-framework paper is that a referee, reading quickly, looks for a few recognizable signals before engaging with the substance. The suggestions below aim to surface those signals; none concern the correctness of the physics, only its presentation.</w:t>
      </w:r>
    </w:p>
    <w:p>
      <w:r>
        <w:rPr>
          <w:b/>
        </w:rPr>
        <w:t>The highest-leverage single move: give Eq. (32) its own focused paper.</w:t>
      </w:r>
      <w:r>
        <w:t xml:space="preserve"> In our reconstruction, Eq. (32) is the strongest and most defensible single result in the framework — it agrees at 1.0σ and, under a look-elsewhere scan, ranks first among 83,160 candidate formulas (p ≈ 6×10⁻⁵). Presented on its own, in a short focused note, it is far harder to dismiss than when it appears alongside fifty pages of broader material. A single accepted focused paper also builds standing that makes the subsequent parts (the dipole treatment, the isomer picture) easier to place. I would suggest leading with your strongest result rather than presenting the whole framework at once — not to set anything aside, but so that the strongest result is not obscured.</w:t>
      </w:r>
    </w:p>
    <w:p>
      <w:r>
        <w:t xml:space="preserve">I say this not as abstract advice but as an observed precedent. Reviewing published, peer-reviewed work in this genre before writing this note, I found the closest published analogue: Singh, "Why do elementary particles have such strange mass ratios? — The role of quantum gravity at low energies" (arXiv:2209.03205), a similarly focused note deriving elementary-particle mass ratios from quantum-gravity and exceptional-algebra considerations, was reviewed and published in </w:t>
      </w:r>
      <w:r>
        <w:rPr>
          <w:i/>
        </w:rPr>
        <w:t>Physics</w:t>
      </w:r>
      <w:r>
        <w:t xml:space="preserve"> (MDPI) </w:t>
      </w:r>
      <w:r>
        <w:rPr>
          <w:b/>
        </w:rPr>
        <w:t>4</w:t>
      </w:r>
      <w:r>
        <w:t>, 948 (2022). Its acceptance there is part of why I point toward that journal tier for Eq. (32) specifically, rather than offering the recommendation without a concrete example of the genre succeeding.</w:t>
      </w:r>
    </w:p>
    <w:p>
      <w:r>
        <w:t xml:space="preserve">This is not an isolated instance but an active, ongoing line of published work spanning well over a decade, which I take as further reassurance that the genre is a recognized and reviewable one. Two further, more recent examples: Patel and Singh, "CKM Matrix Parameters from the Exceptional Jordan Algebra" (arXiv:2305.00668), published in </w:t>
      </w:r>
      <w:r>
        <w:rPr>
          <w:i/>
        </w:rPr>
        <w:t>Universe</w:t>
      </w:r>
      <w:r>
        <w:t xml:space="preserve"> </w:t>
      </w:r>
      <w:r>
        <w:rPr>
          <w:b/>
        </w:rPr>
        <w:t>9</w:t>
      </w:r>
      <w:r>
        <w:t xml:space="preserve">, 440 (2023); and Finster, Gresnigt, Isidro, Marcianò, Paganini, and Singh, "Causal Fermion Systems and Octonions" (arXiv:2403.00360), published in </w:t>
      </w:r>
      <w:r>
        <w:rPr>
          <w:i/>
        </w:rPr>
        <w:t>Fortschritte der Physik</w:t>
      </w:r>
      <w:r>
        <w:t xml:space="preserve"> </w:t>
      </w:r>
      <w:r>
        <w:rPr>
          <w:b/>
        </w:rPr>
        <w:t>72</w:t>
      </w:r>
      <w:r>
        <w:t>(11), 2400055 (2024) — the latter as recently as last year. Together with the earlier work of Sumino on family gauge symmetry and Koide's formula (</w:t>
      </w:r>
      <w:r>
        <w:rPr>
          <w:i/>
        </w:rPr>
        <w:t>Phys. Lett. B</w:t>
      </w:r>
      <w:r>
        <w:t xml:space="preserve"> </w:t>
      </w:r>
      <w:r>
        <w:rPr>
          <w:b/>
        </w:rPr>
        <w:t>671</w:t>
      </w:r>
      <w:r>
        <w:t xml:space="preserve">, 477 (2009); </w:t>
      </w:r>
      <w:r>
        <w:rPr>
          <w:i/>
        </w:rPr>
        <w:t>J. High Energy Phys.</w:t>
      </w:r>
      <w:r>
        <w:t xml:space="preserve"> </w:t>
      </w:r>
      <w:r>
        <w:rPr>
          <w:b/>
        </w:rPr>
        <w:t>05</w:t>
      </w:r>
      <w:r>
        <w:t xml:space="preserve"> (2009) 075), these span 2009 through 2024, giving a consistent record of peer-reviewed acceptance for focused, algebraically-motivated mass-relation papers of essentially this kind.</w:t>
      </w:r>
    </w:p>
    <w:p>
      <w:r>
        <w:rPr>
          <w:b/>
        </w:rPr>
        <w:t>Six concrete presentation improvements, in order of leverage:</w:t>
      </w:r>
    </w:p>
    <w:p>
      <w:pPr>
        <w:ind w:left="432"/>
      </w:pPr>
      <w:r>
        <w:t xml:space="preserve">1. </w:t>
      </w:r>
      <w:r>
        <w:rPr>
          <w:b/>
        </w:rPr>
        <w:t>Include a look-elsewhere / trials-factor analysis for each numerical relation.</w:t>
      </w:r>
      <w:r>
        <w:t xml:space="preserve"> This is the single most effective way to distinguish a genuine regularity from coincidence in a referee's eyes. The scan we performed for Eq. (32) (rank 1 of 83,160, and rank 1 again under a floating reference mass) is exactly the kind of control that pre-empts the "numerology" objection; a recent Koide paper (Hübner 2026) uses the same device.</w:t>
      </w:r>
    </w:p>
    <w:p>
      <w:pPr>
        <w:ind w:left="432"/>
      </w:pPr>
      <w:r>
        <w:t xml:space="preserve">2. </w:t>
      </w:r>
      <w:r>
        <w:rPr>
          <w:b/>
        </w:rPr>
        <w:t>Narrow the scope per paper.</w:t>
      </w:r>
      <w:r>
        <w:t xml:space="preserve"> A paper addressing gravity, dark matter, particle masses, and cosmic expansion together is difficult for any single referee to assess. One focused claim per paper reviews more readily.</w:t>
      </w:r>
    </w:p>
    <w:p>
      <w:pPr>
        <w:ind w:left="432"/>
      </w:pPr>
      <w:r>
        <w:t xml:space="preserve">3. </w:t>
      </w:r>
      <w:r>
        <w:rPr>
          <w:b/>
        </w:rPr>
        <w:t>Position the work explicitly against the existing literature.</w:t>
      </w:r>
      <w:r>
        <w:t xml:space="preserve"> Referees engage more readily with work they can locate in the field: the dipole against Blanchet &amp; Le Tiec (dipolar dark matter), Eq. (32) against Singh et al. (exceptional Jordan algebra fermion masses), and ε(z) against the S₈-tension literature. For Eq. (32) specifically, I would also place it within the Dirac large-numbers / α_G-coincidence tradition — but as a </w:t>
      </w:r>
      <w:r>
        <w:rPr>
          <w:i/>
        </w:rPr>
        <w:t>static</w:t>
      </w:r>
      <w:r>
        <w:t xml:space="preserve"> precision relation (0.061%), explicitly distinguished from Dirac's disfavoured time-varying-G hypothesis, so that it inherits the lineage's context without its refuted baggage.</w:t>
      </w:r>
    </w:p>
    <w:p>
      <w:pPr>
        <w:ind w:left="432"/>
      </w:pPr>
      <w:r>
        <w:t xml:space="preserve">4. </w:t>
      </w:r>
      <w:r>
        <w:rPr>
          <w:b/>
        </w:rPr>
        <w:t>Include a terminology map ("Rosetta stone").</w:t>
      </w:r>
      <w:r>
        <w:t xml:space="preserve"> A short table mapping MULTING, IDM, isomer, F_oP, and "second gravitational property" to standard concepts lets a referee review what would otherwise be unfamiliar vocabulary. (We assembled such a mapping during the audit and would gladly share it.)</w:t>
      </w:r>
    </w:p>
    <w:p>
      <w:pPr>
        <w:ind w:left="432"/>
      </w:pPr>
      <w:r>
        <w:t xml:space="preserve">5. </w:t>
      </w:r>
      <w:r>
        <w:rPr>
          <w:b/>
        </w:rPr>
        <w:t>Separate verified, phenomenological, and speculative explicitly.</w:t>
      </w:r>
      <w:r>
        <w:t xml:space="preserve"> This is well aligned with your own 2026-07-07 direction. Marking β and the bridge as phenomenological (rather than as data-inferred) is both accurate and defensible.</w:t>
      </w:r>
    </w:p>
    <w:p>
      <w:pPr>
        <w:ind w:left="432"/>
      </w:pPr>
      <w:r>
        <w:t xml:space="preserve">6. </w:t>
      </w:r>
      <w:r>
        <w:rPr>
          <w:b/>
        </w:rPr>
        <w:t>Present a candidate action principle where possible.</w:t>
      </w:r>
      <w:r>
        <w:t xml:space="preserve"> A referee expects a variational basis. The Blanchet–Le Tiec dipolar action (§3 above) may serve as a starting template.</w:t>
      </w:r>
    </w:p>
    <w:p>
      <w:r>
        <w:rPr>
          <w:b/>
        </w:rPr>
        <w:t>In candor about the ceiling:</w:t>
      </w:r>
      <w:r>
        <w:t xml:space="preserve"> two obstacles are not matters of presentation. The derivation of the 4/3 coefficient and a full MULTING action principle are genuine open problems of the same difficulty class as the four-decade-open Koide derivation, and no rewriting resolves them. My suggestion is therefore not to make the entire framework publishable at once, but to bring its single strongest result — Eq. (32), with its look-elsewhere control and its algebraic context — to a focused, reviewable form first.</w:t>
      </w:r>
    </w:p>
    <w:p>
      <w:pPr>
        <w:pStyle w:val="Heading1"/>
      </w:pPr>
      <w:r>
        <w:t>6. A concrete next step</w:t>
      </w:r>
    </w:p>
    <w:p>
      <w:r>
        <w:t>You noted (2026-07-07) that you may reframe the paper as an exercise in fitting data, with your work as the main example. That direction and an independent verification-and-validation (V&amp;V) treatment are complementary. I would be glad to contribute the reproducibility/V&amp;V side — separating relations that survive independent numerical checks (Eq. 32, the 7:9:17 scale-free ratio) from the phenomenological and the speculative — as a joint methodological note, if that is of interest. This is safer ground than the physics itself: it makes no claim that the framework is true or false, only that its computations are or are not reproducible.</w:t>
      </w:r>
    </w:p>
    <w:p>
      <w:r>
        <w:t>With appreciation and respect,</w:t>
      </w:r>
    </w:p>
    <w:p>
      <w:r>
        <w:t>Sergey Boyko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