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Auditoria de Sistemas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Integrantes: Pedro H. Dresch, Rolfi L. Sobko, Oscar E. Dominguez</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Instituto Superior Combate Mbororé</w:t>
      </w:r>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Tercer año, Tecnicatura Superior en Análisis de Sistemas de Computación</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Profesora: Andrea Kruzolek</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4d34og8" w:id="8"/>
      <w:bookmarkEnd w:id="8"/>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u0ml5nlnwq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osqg1su9h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Problemas Identificados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ppvudrnl6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y Alcance</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sfmnw79t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dqn8o464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di7bbgvg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q7nwv6u8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Enfoque a utilizar</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4bp5vbkck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si83en7o5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Trabajo</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j94xnq6r2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a Solicitar</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yk9dmano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Organigrama Institucional</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t2xiwjcc0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y Controles Identificados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a4ov4t4d68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Reglamento y Controles Internos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gfcqoda9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Área de cómputo e informática</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9ppkn0mr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FODA</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encabezado 3</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 1</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 2</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Debate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vu0ml5nlnwq9" w:id="9"/>
      <w:bookmarkEnd w:id="9"/>
      <w:r w:rsidDel="00000000" w:rsidR="00000000" w:rsidRPr="00000000">
        <w:rPr>
          <w:rtl w:val="0"/>
        </w:rPr>
        <w:t xml:space="preserve">Descripción general</w:t>
      </w:r>
    </w:p>
    <w:p w:rsidR="00000000" w:rsidDel="00000000" w:rsidP="00000000" w:rsidRDefault="00000000" w:rsidRPr="00000000" w14:paraId="00000027">
      <w:pPr>
        <w:pageBreakBefore w:val="0"/>
        <w:ind w:firstLine="708.6614173228347"/>
        <w:jc w:val="both"/>
        <w:rPr/>
      </w:pPr>
      <w:r w:rsidDel="00000000" w:rsidR="00000000" w:rsidRPr="00000000">
        <w:rPr>
          <w:rtl w:val="0"/>
        </w:rPr>
        <w:t xml:space="preserve">Este proyecto de auditoría tiene como objetivo evaluar los sistemas tecnológicos del Instituto Superior Combate Mbororé, que actualmente enfrenta múltiples deficiencias. El Representante Legal de la institución ha solicitado esta auditoría debido a problemas que han llevado a la realización de tareas manuales, afectando negativamente la eficiencia y provocando inconvenientes económicos.</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0osqg1su9hi" w:id="10"/>
      <w:bookmarkEnd w:id="10"/>
      <w:r w:rsidDel="00000000" w:rsidR="00000000" w:rsidRPr="00000000">
        <w:rPr>
          <w:rtl w:val="0"/>
        </w:rPr>
        <w:t xml:space="preserve">Problemas Identificados</w:t>
      </w:r>
    </w:p>
    <w:p w:rsidR="00000000" w:rsidDel="00000000" w:rsidP="00000000" w:rsidRDefault="00000000" w:rsidRPr="00000000" w14:paraId="00000029">
      <w:pPr>
        <w:ind w:left="0" w:firstLine="0"/>
        <w:rPr/>
      </w:pPr>
      <w:r w:rsidDel="00000000" w:rsidR="00000000" w:rsidRPr="00000000">
        <w:rPr>
          <w:rtl w:val="0"/>
        </w:rPr>
        <w:t xml:space="preserve">La problemática que aqueja a la Institución Superior Combate Mbororé se centra en la gestión de la inscripción a las mesas de exámenes, la cual ha experimentado dificultades notables debido a la inadecuación de los sistemas previamente implementados. Estas dificultades se manifiestan en los siguientes aspectos: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Operación Manual y Problemas Durante los Exámenes: La institución se ha visto obligada a recurrir a la inscripción manual de los estudiantes en las mesas de exámenes debido a las fallas e ineficiencias en los sistemas informáticos existentes. Estos problemas se han acentuado durante los periodos de exámenes, generando una sobrecarga de trabajo en el personal administrativo y dificultades para los estudiantes, que experimentan retrasos y desorganización en el proceso de inscripción.</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Impacto Económico: Las fallas en el software de inscripción a las mesas de exámenes han ocasionado daños económicos considerables para la institución. Estas fallas han dado lugar a interrupciones en las actividades académicas y administrativas, lo que ha requerido asignación de recursos adicionales para mitigar los inconvenientes. El impacto económico se traduce en una disminución de la eficiencia operativa y un aumento en los costos operativos.</w:t>
      </w:r>
    </w:p>
    <w:p w:rsidR="00000000" w:rsidDel="00000000" w:rsidP="00000000" w:rsidRDefault="00000000" w:rsidRPr="00000000" w14:paraId="0000002C">
      <w:pPr>
        <w:ind w:left="0" w:firstLine="0"/>
        <w:rPr/>
      </w:pPr>
      <w:r w:rsidDel="00000000" w:rsidR="00000000" w:rsidRPr="00000000">
        <w:rPr>
          <w:rtl w:val="0"/>
        </w:rPr>
        <w:t xml:space="preserve">Este conjunto de desafíos técnicos y operativos pone de manifiesto la necesidad urgente de una auditoría en dos dimensiones fundamentales: la auditoría de sistema físico, para evaluar la infraestructura tecnológica y la auditoría de desarrollo, para analizar y mejorar el software utilizado en el proceso de inscripción a las mesas de exámenes. La resolución de estos problemas es esencial para permitir una inscripción a las mesas eficiente, minimizar los impactos económicos negativos y asegurar la integridad de la infraestructura tecnológica en la institución.</w:t>
      </w:r>
    </w:p>
    <w:p w:rsidR="00000000" w:rsidDel="00000000" w:rsidP="00000000" w:rsidRDefault="00000000" w:rsidRPr="00000000" w14:paraId="0000002D">
      <w:pPr>
        <w:pStyle w:val="Heading1"/>
        <w:rPr/>
      </w:pPr>
      <w:bookmarkStart w:colFirst="0" w:colLast="0" w:name="_ftxkoyv28lt" w:id="11"/>
      <w:bookmarkEnd w:id="1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35ppvudrnl60" w:id="12"/>
      <w:bookmarkEnd w:id="12"/>
      <w:r w:rsidDel="00000000" w:rsidR="00000000" w:rsidRPr="00000000">
        <w:rPr>
          <w:rtl w:val="0"/>
        </w:rPr>
        <w:t xml:space="preserve">Objetivos y Alcance</w:t>
      </w: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wsfmnw79tyd" w:id="13"/>
      <w:bookmarkEnd w:id="13"/>
      <w:r w:rsidDel="00000000" w:rsidR="00000000" w:rsidRPr="00000000">
        <w:rPr>
          <w:rtl w:val="0"/>
        </w:rPr>
        <w:t xml:space="preserve">Objetivo General</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Realizar una auditoría integral de los sistemas tecnológicos en la Institución Superior Combate Mbororé, con el propósito de identificar los controles, sistemas y procedimientos de informática involucrados en el proceso de Inscripción a mesas de exámenes; relevar los equipos de cómputo y sistema de conexión de redes y servidores afectados en dicha tarea; además de realizar controles sobre el personal a cargo.</w:t>
      </w:r>
      <w:r w:rsidDel="00000000" w:rsidR="00000000" w:rsidRPr="00000000">
        <w:rPr>
          <w:rtl w:val="0"/>
        </w:rPr>
      </w:r>
    </w:p>
    <w:p w:rsidR="00000000" w:rsidDel="00000000" w:rsidP="00000000" w:rsidRDefault="00000000" w:rsidRPr="00000000" w14:paraId="00000031">
      <w:pPr>
        <w:pStyle w:val="Heading2"/>
        <w:rPr/>
      </w:pPr>
      <w:bookmarkStart w:colFirst="0" w:colLast="0" w:name="_bxdqn8o464ti" w:id="14"/>
      <w:bookmarkEnd w:id="14"/>
      <w:r w:rsidDel="00000000" w:rsidR="00000000" w:rsidRPr="00000000">
        <w:rPr>
          <w:rtl w:val="0"/>
        </w:rPr>
        <w:t xml:space="preserve">Objetivos Específicos</w:t>
      </w:r>
    </w:p>
    <w:p w:rsidR="00000000" w:rsidDel="00000000" w:rsidP="00000000" w:rsidRDefault="00000000" w:rsidRPr="00000000" w14:paraId="00000032">
      <w:pPr>
        <w:ind w:firstLine="720"/>
        <w:rPr/>
      </w:pPr>
      <w:r w:rsidDel="00000000" w:rsidR="00000000" w:rsidRPr="00000000">
        <w:rPr>
          <w:rtl w:val="0"/>
        </w:rPr>
        <w:t xml:space="preserve">Para abordar de manera efectiva la auditoría de sistemas en el Instituto Superior Combate Mbororé y resolver los problemas identificados, se plantean los siguientes objetivos específicos:</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Evaluar el Diseño y Prueba de los Sistemas de Inscripción: Llevar a cabo una evaluación exhaustiva de los sistemas de inscripción a las mesas de exámenes, incluyendo su diseño, pruebas y el impacto de las fallas de software en las dificultades operativas. Además, se buscará identificar la causa de la necesidad de realizar tareas manuales en este proceso.</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Determinar la Veracidad de la Información: Verificar la precisión y veracidad de la información manejada por los sistemas informáticos en relación con el proceso de inscripción, garantizando la integridad de los datos.</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Evaluar los Procedimientos de Control de Operación: Analizar y evaluar los procedimientos de control de operación utilizados en el procesamiento de información, verificando su estandarización y cumplimiento, y proponer mejoras si es necesario.</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Evaluar la Administración de Dispositivos de Almacenamiento: Examinar la gestión de los dispositivos de almacenamiento esenciales en el área de informática, garantizando la disponibilidad y seguridad de los datos almacenados.</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Verificar el Control de Mantenimiento y Fallas en los Equipos de Cómputo: Evaluar los procedimientos de control utilizados para el mantenimiento de los equipos de cómputo y la gestión de las fallas, con el objetivo de asegurar el funcionamiento adecuado de los activos informáticos.</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Revisar Reglamentos y Disposiciones en el Departamento de Cómputo: Verificar la existencia y el cumplimiento de reglamentos y disposiciones que contribuyan al mantenimiento del orden y la eficiencia dentro del departamento de cómputo.</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Participación en el Desarrollo de Nuevos Sistemas: Colaborar en la evaluación de controles y el cumplimiento de metodologías durante el desarrollo de nuevos sistemas, asegurando la integridad y seguridad de los datos.</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Evaluación de la Seguridad en el Área Informática: Evaluar la seguridad de los sistemas informáticos en uso, identificando posibles vulnerabilidades y proponiendo medidas correctivas.</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Evaluación de Suficiencia en los Planes de Contingencia: Evaluar la efectividad de los planes de contingencia existentes, incluyendo la gestión de respaldos y la preparación para situaciones de fallo.</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Opinión sobre la Utilización de Recursos Informáticos: Emitir una opinión sobre la utilización eficiente de los recursos informáticos, incluyendo el resguardo adecuado y la protección de activos.</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Control de Modificaciones en las Aplicaciones Existentes: Determinar y establecer controles sólidos para prevenir fraudes, robo de información y cambios no autorizados en las aplicaciones existentes.</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Revisión de la Utilización del Sistema Operativo y Programas Utilitarios: Evaluar y controlar la utilización de sistemas operativos y programas utilitarios, garantizando una gestión eficaz de los sistemas y dispositivos conectados a los equipos.</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pStyle w:val="Heading1"/>
        <w:rPr/>
      </w:pPr>
      <w:bookmarkStart w:colFirst="0" w:colLast="0" w:name="_w6di7bbgvg4d" w:id="15"/>
      <w:bookmarkEnd w:id="15"/>
      <w:r w:rsidDel="00000000" w:rsidR="00000000" w:rsidRPr="00000000">
        <w:rPr>
          <w:rtl w:val="0"/>
        </w:rPr>
        <w:t xml:space="preserve">Antecedentes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42">
      <w:pPr>
        <w:pStyle w:val="Heading1"/>
        <w:rPr/>
      </w:pPr>
      <w:bookmarkStart w:colFirst="0" w:colLast="0" w:name="_ijq7nwv6u8du" w:id="16"/>
      <w:bookmarkEnd w:id="16"/>
      <w:r w:rsidDel="00000000" w:rsidR="00000000" w:rsidRPr="00000000">
        <w:rPr>
          <w:rtl w:val="0"/>
        </w:rPr>
        <w:t xml:space="preserve">Enfoque a utilizar</w:t>
      </w: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44">
      <w:pPr>
        <w:pStyle w:val="Heading1"/>
        <w:rPr/>
      </w:pPr>
      <w:bookmarkStart w:colFirst="0" w:colLast="0" w:name="_84bp5vbkck9q" w:id="17"/>
      <w:bookmarkEnd w:id="17"/>
      <w:r w:rsidDel="00000000" w:rsidR="00000000" w:rsidRPr="00000000">
        <w:rPr>
          <w:rtl w:val="0"/>
        </w:rPr>
        <w:t xml:space="preserve">Alcance</w:t>
      </w:r>
    </w:p>
    <w:p w:rsidR="00000000" w:rsidDel="00000000" w:rsidP="00000000" w:rsidRDefault="00000000" w:rsidRPr="00000000" w14:paraId="00000045">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osi83en7o5es" w:id="18"/>
      <w:bookmarkEnd w:id="18"/>
      <w:r w:rsidDel="00000000" w:rsidR="00000000" w:rsidRPr="00000000">
        <w:rPr>
          <w:rtl w:val="0"/>
        </w:rPr>
        <w:t xml:space="preserve">Cronograma de Trabajo</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Colocar el diagrama de Gantt</w:t>
      </w:r>
    </w:p>
    <w:p w:rsidR="00000000" w:rsidDel="00000000" w:rsidP="00000000" w:rsidRDefault="00000000" w:rsidRPr="00000000" w14:paraId="00000048">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49">
      <w:pPr>
        <w:pStyle w:val="Heading1"/>
        <w:rPr/>
      </w:pPr>
      <w:bookmarkStart w:colFirst="0" w:colLast="0" w:name="_kj94xnq6r2s7" w:id="19"/>
      <w:bookmarkEnd w:id="19"/>
      <w:r w:rsidDel="00000000" w:rsidR="00000000" w:rsidRPr="00000000">
        <w:rPr>
          <w:rtl w:val="0"/>
        </w:rPr>
        <w:t xml:space="preserve">Documentos a Solicitar</w:t>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4B">
      <w:pPr>
        <w:pStyle w:val="Heading1"/>
        <w:rPr/>
      </w:pPr>
      <w:bookmarkStart w:colFirst="0" w:colLast="0" w:name="_ppyk9dmanocs" w:id="20"/>
      <w:bookmarkEnd w:id="20"/>
      <w:r w:rsidDel="00000000" w:rsidR="00000000" w:rsidRPr="00000000">
        <w:rPr>
          <w:rtl w:val="0"/>
        </w:rPr>
        <w:t xml:space="preserve">Organigrama Institucional</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4D">
      <w:pPr>
        <w:pStyle w:val="Heading1"/>
        <w:rPr/>
      </w:pPr>
      <w:bookmarkStart w:colFirst="0" w:colLast="0" w:name="_6t2xiwjcc0bn" w:id="21"/>
      <w:bookmarkEnd w:id="21"/>
      <w:r w:rsidDel="00000000" w:rsidR="00000000" w:rsidRPr="00000000">
        <w:rPr>
          <w:rtl w:val="0"/>
        </w:rPr>
        <w:t xml:space="preserve">Sistemas y Controles Identificados</w:t>
      </w: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4F">
      <w:pPr>
        <w:pStyle w:val="Heading1"/>
        <w:rPr/>
      </w:pPr>
      <w:bookmarkStart w:colFirst="0" w:colLast="0" w:name="_da4ov4t4d68x" w:id="22"/>
      <w:bookmarkEnd w:id="22"/>
      <w:r w:rsidDel="00000000" w:rsidR="00000000" w:rsidRPr="00000000">
        <w:rPr>
          <w:rtl w:val="0"/>
        </w:rPr>
        <w:t xml:space="preserve">Reglamento y Controles Internos</w:t>
      </w: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VER APUNTE</w:t>
      </w:r>
    </w:p>
    <w:p w:rsidR="00000000" w:rsidDel="00000000" w:rsidP="00000000" w:rsidRDefault="00000000" w:rsidRPr="00000000" w14:paraId="00000051">
      <w:pPr>
        <w:ind w:firstLine="720"/>
        <w:rPr/>
      </w:pPr>
      <w:r w:rsidDel="00000000" w:rsidR="00000000" w:rsidRPr="00000000">
        <w:rPr>
          <w:rtl w:val="0"/>
        </w:rPr>
        <w:t xml:space="preserve">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2">
      <w:pPr>
        <w:pStyle w:val="Heading1"/>
        <w:rPr/>
      </w:pPr>
      <w:bookmarkStart w:colFirst="0" w:colLast="0" w:name="_tugfcqoda9ur" w:id="23"/>
      <w:bookmarkEnd w:id="23"/>
      <w:r w:rsidDel="00000000" w:rsidR="00000000" w:rsidRPr="00000000">
        <w:rPr>
          <w:rtl w:val="0"/>
        </w:rPr>
        <w:t xml:space="preserve">Área de cómputo e informática</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4">
      <w:pPr>
        <w:pStyle w:val="Heading1"/>
        <w:rPr/>
      </w:pPr>
      <w:bookmarkStart w:colFirst="0" w:colLast="0" w:name="_ss9ppkn0mrq1" w:id="24"/>
      <w:bookmarkEnd w:id="24"/>
      <w:r w:rsidDel="00000000" w:rsidR="00000000" w:rsidRPr="00000000">
        <w:rPr>
          <w:rtl w:val="0"/>
        </w:rPr>
        <w:t xml:space="preserve">Análisis FODA</w:t>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6">
      <w:pPr>
        <w:pStyle w:val="Heading3"/>
        <w:pageBreakBefore w:val="0"/>
        <w:rPr>
          <w:i w:val="1"/>
        </w:rPr>
      </w:pPr>
      <w:bookmarkStart w:colFirst="0" w:colLast="0" w:name="_lnxbz9" w:id="25"/>
      <w:bookmarkEnd w:id="25"/>
      <w:r w:rsidDel="00000000" w:rsidR="00000000" w:rsidRPr="00000000">
        <w:rPr>
          <w:rtl w:val="0"/>
        </w:rPr>
        <w:t xml:space="preserve">Nivel de encabezado 3</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El nivel de encabezado 4 está integrado en el siguiente párrafo, separado por un punto.</w:t>
      </w:r>
      <w:r w:rsidDel="00000000" w:rsidR="00000000" w:rsidRPr="00000000">
        <w:rPr>
          <w:rtl w:val="0"/>
        </w:rPr>
        <w:t xml:space="preserve">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Segundo encabezado de nivel 4.</w:t>
      </w:r>
      <w:r w:rsidDel="00000000" w:rsidR="00000000" w:rsidRPr="00000000">
        <w:rPr>
          <w:b w:val="1"/>
          <w:i w:val="1"/>
          <w:rtl w:val="0"/>
        </w:rPr>
        <w:t xml:space="preserve"> </w:t>
      </w: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El nivel de encabezado 5 también está integrado.</w:t>
      </w:r>
      <w:r w:rsidDel="00000000" w:rsidR="00000000" w:rsidRPr="00000000">
        <w:rPr>
          <w:rtl w:val="0"/>
        </w:rPr>
        <w:t xml:space="preserve">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i w:val="1"/>
          <w:rtl w:val="0"/>
        </w:rPr>
        <w:t xml:space="preserve">Segundo encabezado de nivel 5.</w:t>
      </w:r>
      <w:r w:rsidDel="00000000" w:rsidR="00000000" w:rsidRPr="00000000">
        <w:rPr>
          <w:rtl w:val="0"/>
        </w:rPr>
        <w:t xml:space="preserve">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26"/>
      <w:bookmarkEnd w:id="26"/>
      <w:r w:rsidDel="00000000" w:rsidR="00000000" w:rsidRPr="00000000">
        <w:rPr>
          <w:rtl w:val="0"/>
        </w:rPr>
        <w:t xml:space="preserve">Resultados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5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27"/>
      <w:bookmarkEnd w:id="27"/>
      <w:r w:rsidDel="00000000" w:rsidR="00000000" w:rsidRPr="00000000">
        <w:rPr>
          <w:rtl w:val="0"/>
        </w:rPr>
        <w:t xml:space="preserve">Resultado 1</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w:t>
      </w:r>
    </w:p>
    <w:p w:rsidR="00000000" w:rsidDel="00000000" w:rsidP="00000000" w:rsidRDefault="00000000" w:rsidRPr="00000000" w14:paraId="0000006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28"/>
      <w:bookmarkEnd w:id="28"/>
      <w:r w:rsidDel="00000000" w:rsidR="00000000" w:rsidRPr="00000000">
        <w:rPr>
          <w:rtl w:val="0"/>
        </w:rPr>
        <w:t xml:space="preserve">Resultado 2</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w:t>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29"/>
      <w:bookmarkEnd w:id="29"/>
      <w:r w:rsidDel="00000000" w:rsidR="00000000" w:rsidRPr="00000000">
        <w:rPr>
          <w:rtl w:val="0"/>
        </w:rPr>
        <w:t xml:space="preserve">Debate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 Escribe tu texto aquí.</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30"/>
      <w:bookmarkEnd w:id="30"/>
      <w:r w:rsidDel="00000000" w:rsidR="00000000" w:rsidRPr="00000000">
        <w:rPr>
          <w:rtl w:val="0"/>
        </w:rPr>
        <w:t xml:space="preserve">Referencias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Apellido, C. (2008). Título de la fuente sin mayúsculas, excepto Sustantivos Propios o: Primera palabra después de dos puntos. </w:t>
      </w:r>
      <w:r w:rsidDel="00000000" w:rsidR="00000000" w:rsidRPr="00000000">
        <w:rPr>
          <w:i w:val="1"/>
          <w:highlight w:val="white"/>
          <w:rtl w:val="0"/>
        </w:rPr>
        <w:t xml:space="preserve">Revista o publicación en cursiva</w:t>
      </w:r>
      <w:r w:rsidDel="00000000" w:rsidR="00000000" w:rsidRPr="00000000">
        <w:rPr>
          <w:highlight w:val="white"/>
          <w:rtl w:val="0"/>
        </w:rPr>
        <w:t xml:space="preserve">, vol. n.º(n.º de emisión), números de página.</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Apellido, O. (2010). Revista en línea con DOI (identificador de objeto digital). </w:t>
      </w:r>
      <w:r w:rsidDel="00000000" w:rsidR="00000000" w:rsidRPr="00000000">
        <w:rPr>
          <w:i w:val="1"/>
          <w:highlight w:val="white"/>
          <w:rtl w:val="0"/>
        </w:rPr>
        <w:t xml:space="preserve">Nombre de revista en línea principal</w:t>
      </w:r>
      <w:r w:rsidDel="00000000" w:rsidR="00000000" w:rsidRPr="00000000">
        <w:rPr>
          <w:highlight w:val="white"/>
          <w:rtl w:val="0"/>
        </w:rPr>
        <w:t xml:space="preserve">, vol. n.º(n.º de emisión), 159-192. </w:t>
      </w:r>
      <w:hyperlink r:id="rId6">
        <w:r w:rsidDel="00000000" w:rsidR="00000000" w:rsidRPr="00000000">
          <w:rPr>
            <w:color w:val="1155cc"/>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Apellido, W. (2009). </w:t>
      </w:r>
      <w:r w:rsidDel="00000000" w:rsidR="00000000" w:rsidRPr="00000000">
        <w:rPr>
          <w:i w:val="1"/>
          <w:highlight w:val="white"/>
          <w:rtl w:val="0"/>
        </w:rPr>
        <w:t xml:space="preserve">Título de página web</w:t>
      </w:r>
      <w:r w:rsidDel="00000000" w:rsidR="00000000" w:rsidRPr="00000000">
        <w:rPr>
          <w:highlight w:val="white"/>
          <w:rtl w:val="0"/>
        </w:rPr>
        <w:t xml:space="preserve">. Nombre del sitio. Obtenido el 3 de julio de 2019 en</w:t>
      </w:r>
      <w:hyperlink r:id="rId7">
        <w:r w:rsidDel="00000000" w:rsidR="00000000" w:rsidRPr="00000000">
          <w:rPr>
            <w:highlight w:val="white"/>
            <w:rtl w:val="0"/>
          </w:rPr>
          <w:t xml:space="preserve"> </w:t>
        </w:r>
      </w:hyperlink>
      <w:hyperlink r:id="rId8">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INSTITUTO SUPERIOR COMBATE M’BORORE</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1000/182" TargetMode="External"/><Relationship Id="rId7" Type="http://schemas.openxmlformats.org/officeDocument/2006/relationships/hyperlink" Target="http://www.mainwebsite.org/" TargetMode="External"/><Relationship Id="rId8"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