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FB11" w14:textId="77777777" w:rsidR="002F0DA9" w:rsidRDefault="00000000">
      <w:pPr>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sz w:val="28"/>
          <w:szCs w:val="28"/>
        </w:rPr>
        <w:t>Machine Learning-Driven Identification of Potential CCR5 Inhibitors from FooDB: Integrated XGBoost Screening, Molecular Docking, and Molecular Dynamics Simulation</w:t>
      </w:r>
    </w:p>
    <w:p w14:paraId="52AB94B7" w14:textId="77777777" w:rsidR="002F0DA9" w:rsidRDefault="002F0DA9">
      <w:pPr>
        <w:spacing w:after="0" w:line="240" w:lineRule="auto"/>
        <w:jc w:val="center"/>
        <w:rPr>
          <w:rFonts w:ascii="Times New Roman" w:eastAsia="Times New Roman" w:hAnsi="Times New Roman" w:cs="Times New Roman"/>
          <w:b/>
          <w:bCs/>
        </w:rPr>
      </w:pPr>
    </w:p>
    <w:p w14:paraId="7F5A969D" w14:textId="788A2788" w:rsidR="002F0DA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w:t>
      </w:r>
      <w:r w:rsidR="00C00114">
        <w:rPr>
          <w:rFonts w:ascii="Times New Roman" w:eastAsia="Times New Roman" w:hAnsi="Times New Roman" w:cs="Times New Roman"/>
          <w:b/>
          <w:bCs/>
          <w:color w:val="000000"/>
        </w:rPr>
        <w:t>bstract</w:t>
      </w:r>
    </w:p>
    <w:p w14:paraId="75A83565" w14:textId="77777777" w:rsidR="00DC057F" w:rsidRDefault="00DC057F">
      <w:pPr>
        <w:pBdr>
          <w:top w:val="nil"/>
          <w:left w:val="nil"/>
          <w:bottom w:val="nil"/>
          <w:right w:val="nil"/>
          <w:between w:val="nil"/>
        </w:pBdr>
        <w:spacing w:after="0" w:line="240" w:lineRule="auto"/>
        <w:rPr>
          <w:rFonts w:ascii="Times New Roman" w:eastAsia="Times New Roman" w:hAnsi="Times New Roman" w:cs="Times New Roman"/>
          <w:b/>
          <w:bCs/>
          <w:color w:val="000000"/>
        </w:rPr>
      </w:pPr>
    </w:p>
    <w:p w14:paraId="4CA1EFFD" w14:textId="23438393" w:rsidR="00112628" w:rsidRDefault="00112628" w:rsidP="00112628">
      <w:pPr>
        <w:spacing w:after="0" w:line="240" w:lineRule="auto"/>
        <w:jc w:val="both"/>
        <w:rPr>
          <w:rFonts w:ascii="Times New Roman" w:eastAsia="Times New Roman" w:hAnsi="Times New Roman" w:cs="Times New Roman"/>
        </w:rPr>
      </w:pPr>
      <w:r w:rsidRPr="00112628">
        <w:rPr>
          <w:rFonts w:ascii="Times New Roman" w:eastAsia="Times New Roman" w:hAnsi="Times New Roman" w:cs="Times New Roman"/>
          <w:b/>
          <w:bCs/>
        </w:rPr>
        <w:t>Purpose</w:t>
      </w:r>
      <w:r w:rsidRPr="00112628">
        <w:rPr>
          <w:rFonts w:ascii="Times New Roman" w:eastAsia="Times New Roman" w:hAnsi="Times New Roman" w:cs="Times New Roman"/>
        </w:rPr>
        <w:t xml:space="preserve"> Human Immunodeficiency Virus (HIV) remains a major global health concern, highlighting the need for the continuous discovery of effective therapeutic agents targeting viral entry mechanisms. The C-C chemokine receptor type 5 (CCR5) is a key co-receptor involved in HIV entry into host cells and represents a promising target for antiviral drug development. Therefore, this study aimed to identify and prioritize potent CCR5 antagonists using an integrated machine learning-driven </w:t>
      </w:r>
      <w:r w:rsidRPr="00112628">
        <w:rPr>
          <w:rFonts w:ascii="Times New Roman" w:eastAsia="Times New Roman" w:hAnsi="Times New Roman" w:cs="Times New Roman"/>
          <w:i/>
          <w:iCs/>
        </w:rPr>
        <w:t>in silico</w:t>
      </w:r>
      <w:r w:rsidRPr="00112628">
        <w:rPr>
          <w:rFonts w:ascii="Times New Roman" w:eastAsia="Times New Roman" w:hAnsi="Times New Roman" w:cs="Times New Roman"/>
        </w:rPr>
        <w:t xml:space="preserve"> drug discovery approach.</w:t>
      </w:r>
    </w:p>
    <w:p w14:paraId="3D66B159" w14:textId="77777777" w:rsidR="00DC057F" w:rsidRPr="00112628" w:rsidRDefault="00DC057F" w:rsidP="00112628">
      <w:pPr>
        <w:spacing w:after="0" w:line="240" w:lineRule="auto"/>
        <w:jc w:val="both"/>
        <w:rPr>
          <w:rFonts w:ascii="Times New Roman" w:eastAsia="Times New Roman" w:hAnsi="Times New Roman" w:cs="Times New Roman"/>
        </w:rPr>
      </w:pPr>
    </w:p>
    <w:p w14:paraId="162DB1D8" w14:textId="0ED6DB89" w:rsidR="00112628" w:rsidRDefault="00112628" w:rsidP="00112628">
      <w:pPr>
        <w:spacing w:after="0" w:line="240" w:lineRule="auto"/>
        <w:jc w:val="both"/>
        <w:rPr>
          <w:rFonts w:ascii="Times New Roman" w:eastAsia="Times New Roman" w:hAnsi="Times New Roman" w:cs="Times New Roman"/>
        </w:rPr>
      </w:pPr>
      <w:r w:rsidRPr="00112628">
        <w:rPr>
          <w:rFonts w:ascii="Times New Roman" w:eastAsia="Times New Roman" w:hAnsi="Times New Roman" w:cs="Times New Roman"/>
          <w:b/>
          <w:bCs/>
        </w:rPr>
        <w:t>Methods</w:t>
      </w:r>
      <w:r w:rsidRPr="00112628">
        <w:rPr>
          <w:rFonts w:ascii="Times New Roman" w:eastAsia="Times New Roman" w:hAnsi="Times New Roman" w:cs="Times New Roman"/>
        </w:rPr>
        <w:t xml:space="preserve"> A dataset of 170 drug-like molecules was subjected to predictive screening using an XGBoost (Extreme Gradient Boosting) ensemble learning model. The selected candidates were further evaluated for their pharmacokinetic and toxicity profiles through ADMET prediction. Subsequently, molecular docking simulations were performed using AutoDock Vina against the CCR5 receptor (PDB ID: 4MBS) to assess binding affinities and interaction patterns. The top-ranked docking hit was further subjected to molecular dynamics (MD) simulation. The resulting trajectories were subsequently </w:t>
      </w:r>
      <w:r w:rsidR="00B002A7" w:rsidRPr="00112628">
        <w:rPr>
          <w:rFonts w:ascii="Times New Roman" w:eastAsia="Times New Roman" w:hAnsi="Times New Roman" w:cs="Times New Roman"/>
        </w:rPr>
        <w:t>analysed</w:t>
      </w:r>
      <w:r w:rsidRPr="00112628">
        <w:rPr>
          <w:rFonts w:ascii="Times New Roman" w:eastAsia="Times New Roman" w:hAnsi="Times New Roman" w:cs="Times New Roman"/>
        </w:rPr>
        <w:t xml:space="preserve"> using principal component analysis (PCA)</w:t>
      </w:r>
      <w:r w:rsidR="00507D18">
        <w:rPr>
          <w:rFonts w:ascii="Times New Roman" w:eastAsia="Times New Roman" w:hAnsi="Times New Roman" w:cs="Times New Roman"/>
        </w:rPr>
        <w:t>.</w:t>
      </w:r>
    </w:p>
    <w:p w14:paraId="6CE7E870" w14:textId="77777777" w:rsidR="00DC057F" w:rsidRPr="00112628" w:rsidRDefault="00DC057F" w:rsidP="00112628">
      <w:pPr>
        <w:spacing w:after="0" w:line="240" w:lineRule="auto"/>
        <w:jc w:val="both"/>
        <w:rPr>
          <w:rFonts w:ascii="Times New Roman" w:eastAsia="Times New Roman" w:hAnsi="Times New Roman" w:cs="Times New Roman"/>
        </w:rPr>
      </w:pPr>
    </w:p>
    <w:p w14:paraId="6152682F" w14:textId="2FB78A7D" w:rsidR="00112628" w:rsidRDefault="00112628" w:rsidP="00112628">
      <w:pPr>
        <w:spacing w:after="0" w:line="240" w:lineRule="auto"/>
        <w:jc w:val="both"/>
        <w:rPr>
          <w:rFonts w:ascii="Times New Roman" w:eastAsia="Times New Roman" w:hAnsi="Times New Roman" w:cs="Times New Roman"/>
        </w:rPr>
      </w:pPr>
      <w:r w:rsidRPr="00112628">
        <w:rPr>
          <w:rFonts w:ascii="Times New Roman" w:eastAsia="Times New Roman" w:hAnsi="Times New Roman" w:cs="Times New Roman"/>
          <w:b/>
          <w:bCs/>
        </w:rPr>
        <w:t>Results</w:t>
      </w:r>
      <w:r w:rsidRPr="00112628">
        <w:rPr>
          <w:rFonts w:ascii="Times New Roman" w:eastAsia="Times New Roman" w:hAnsi="Times New Roman" w:cs="Times New Roman"/>
        </w:rPr>
        <w:t xml:space="preserve"> The docking analysis revealed strong binding affinities of the shortlisted compounds, ranging from −7.1 to −11.4 kcal/mol. Among them, FDB020301 exhibited the highest binding affinity (−11.4 kcal/mol), surpassing the clinically approved CCR5 antagonist Maraviroc (−10.5 kcal/mol). Molecular dynamics simulation further demonstrated the structural stability of the CCR5–FDB020301 complex, supporting the </w:t>
      </w:r>
      <w:r w:rsidR="00B002A7" w:rsidRPr="00112628">
        <w:rPr>
          <w:rFonts w:ascii="Times New Roman" w:eastAsia="Times New Roman" w:hAnsi="Times New Roman" w:cs="Times New Roman"/>
        </w:rPr>
        <w:t>favourable</w:t>
      </w:r>
      <w:r w:rsidRPr="00112628">
        <w:rPr>
          <w:rFonts w:ascii="Times New Roman" w:eastAsia="Times New Roman" w:hAnsi="Times New Roman" w:cs="Times New Roman"/>
        </w:rPr>
        <w:t xml:space="preserve"> binding mode and stability of the ligand within the receptor binding site.</w:t>
      </w:r>
    </w:p>
    <w:p w14:paraId="2E30CD7B" w14:textId="77777777" w:rsidR="00DC057F" w:rsidRPr="00112628" w:rsidRDefault="00DC057F" w:rsidP="00112628">
      <w:pPr>
        <w:spacing w:after="0" w:line="240" w:lineRule="auto"/>
        <w:jc w:val="both"/>
        <w:rPr>
          <w:rFonts w:ascii="Times New Roman" w:eastAsia="Times New Roman" w:hAnsi="Times New Roman" w:cs="Times New Roman"/>
        </w:rPr>
      </w:pPr>
    </w:p>
    <w:p w14:paraId="42C524BE" w14:textId="2AC0C0E0" w:rsidR="00112628" w:rsidRPr="00112628" w:rsidRDefault="00112628" w:rsidP="00112628">
      <w:pPr>
        <w:spacing w:after="0" w:line="240" w:lineRule="auto"/>
        <w:jc w:val="both"/>
        <w:rPr>
          <w:rFonts w:ascii="Times New Roman" w:eastAsia="Times New Roman" w:hAnsi="Times New Roman" w:cs="Times New Roman"/>
        </w:rPr>
      </w:pPr>
      <w:r w:rsidRPr="00112628">
        <w:rPr>
          <w:rFonts w:ascii="Times New Roman" w:eastAsia="Times New Roman" w:hAnsi="Times New Roman" w:cs="Times New Roman"/>
          <w:b/>
          <w:bCs/>
        </w:rPr>
        <w:t>Conclusion</w:t>
      </w:r>
      <w:r w:rsidRPr="00112628">
        <w:rPr>
          <w:rFonts w:ascii="Times New Roman" w:eastAsia="Times New Roman" w:hAnsi="Times New Roman" w:cs="Times New Roman"/>
        </w:rPr>
        <w:t xml:space="preserve"> FDB020301 emerged as a potential lead molecule with superior binding affinity and </w:t>
      </w:r>
      <w:r w:rsidR="00B002A7" w:rsidRPr="00112628">
        <w:rPr>
          <w:rFonts w:ascii="Times New Roman" w:eastAsia="Times New Roman" w:hAnsi="Times New Roman" w:cs="Times New Roman"/>
        </w:rPr>
        <w:t>favourable</w:t>
      </w:r>
      <w:r w:rsidRPr="00112628">
        <w:rPr>
          <w:rFonts w:ascii="Times New Roman" w:eastAsia="Times New Roman" w:hAnsi="Times New Roman" w:cs="Times New Roman"/>
        </w:rPr>
        <w:t xml:space="preserve"> pharmacokinetic properties, representing a promising scaffold for next-generation anti-HIV drug development. However, further </w:t>
      </w:r>
      <w:r w:rsidRPr="00112628">
        <w:rPr>
          <w:rFonts w:ascii="Times New Roman" w:eastAsia="Times New Roman" w:hAnsi="Times New Roman" w:cs="Times New Roman"/>
          <w:i/>
          <w:iCs/>
        </w:rPr>
        <w:t>in vitro</w:t>
      </w:r>
      <w:r w:rsidRPr="00112628">
        <w:rPr>
          <w:rFonts w:ascii="Times New Roman" w:eastAsia="Times New Roman" w:hAnsi="Times New Roman" w:cs="Times New Roman"/>
        </w:rPr>
        <w:t xml:space="preserve"> and </w:t>
      </w:r>
      <w:r w:rsidRPr="00112628">
        <w:rPr>
          <w:rFonts w:ascii="Times New Roman" w:eastAsia="Times New Roman" w:hAnsi="Times New Roman" w:cs="Times New Roman"/>
          <w:i/>
          <w:iCs/>
        </w:rPr>
        <w:t>in vivo</w:t>
      </w:r>
      <w:r w:rsidRPr="00112628">
        <w:rPr>
          <w:rFonts w:ascii="Times New Roman" w:eastAsia="Times New Roman" w:hAnsi="Times New Roman" w:cs="Times New Roman"/>
        </w:rPr>
        <w:t xml:space="preserve"> studies are required to validate its antiviral efficacy and clinical applicability.</w:t>
      </w:r>
    </w:p>
    <w:p w14:paraId="201F619F" w14:textId="77777777" w:rsidR="00112628" w:rsidRPr="00112628" w:rsidRDefault="00112628" w:rsidP="00112628">
      <w:pPr>
        <w:spacing w:after="0" w:line="240" w:lineRule="auto"/>
        <w:jc w:val="both"/>
        <w:rPr>
          <w:rFonts w:ascii="Times New Roman" w:eastAsia="Times New Roman" w:hAnsi="Times New Roman" w:cs="Times New Roman"/>
        </w:rPr>
      </w:pPr>
    </w:p>
    <w:p w14:paraId="6EF0C702" w14:textId="383242DC" w:rsidR="00112628" w:rsidRPr="00112628" w:rsidRDefault="00EB4965" w:rsidP="00112628">
      <w:pPr>
        <w:spacing w:after="0" w:line="240" w:lineRule="auto"/>
        <w:jc w:val="both"/>
        <w:rPr>
          <w:rFonts w:ascii="Times New Roman" w:eastAsia="Times New Roman" w:hAnsi="Times New Roman" w:cs="Times New Roman"/>
        </w:rPr>
      </w:pPr>
      <w:proofErr w:type="gramStart"/>
      <w:r w:rsidRPr="00112628">
        <w:rPr>
          <w:rFonts w:ascii="Times New Roman" w:eastAsia="Times New Roman" w:hAnsi="Times New Roman" w:cs="Times New Roman"/>
          <w:b/>
          <w:bCs/>
        </w:rPr>
        <w:t>Keywords</w:t>
      </w:r>
      <w:r>
        <w:rPr>
          <w:rFonts w:ascii="Times New Roman" w:eastAsia="Times New Roman" w:hAnsi="Times New Roman" w:cs="Times New Roman"/>
          <w:b/>
          <w:bCs/>
        </w:rPr>
        <w:t xml:space="preserve">  </w:t>
      </w:r>
      <w:r w:rsidRPr="00112628">
        <w:rPr>
          <w:rFonts w:ascii="Times New Roman" w:eastAsia="Times New Roman" w:hAnsi="Times New Roman" w:cs="Times New Roman"/>
        </w:rPr>
        <w:t>HIV</w:t>
      </w:r>
      <w:proofErr w:type="gramEnd"/>
      <w:r w:rsidR="00112628" w:rsidRPr="00112628">
        <w:rPr>
          <w:rFonts w:ascii="Times New Roman" w:eastAsia="Times New Roman" w:hAnsi="Times New Roman" w:cs="Times New Roman"/>
        </w:rPr>
        <w:t xml:space="preserve"> CCR5 receptor Machine Learning XGBoost Molecular Docking</w:t>
      </w:r>
      <w:r w:rsidR="00A02356">
        <w:rPr>
          <w:rFonts w:ascii="Times New Roman" w:eastAsia="Times New Roman" w:hAnsi="Times New Roman" w:cs="Times New Roman"/>
        </w:rPr>
        <w:t xml:space="preserve"> </w:t>
      </w:r>
      <w:r w:rsidR="00112628" w:rsidRPr="00112628">
        <w:rPr>
          <w:rFonts w:ascii="Times New Roman" w:eastAsia="Times New Roman" w:hAnsi="Times New Roman" w:cs="Times New Roman"/>
        </w:rPr>
        <w:t>Molecular Dynamics Simulation</w:t>
      </w:r>
    </w:p>
    <w:p w14:paraId="260F850D" w14:textId="77777777" w:rsidR="00112628" w:rsidRPr="00112628" w:rsidRDefault="00112628" w:rsidP="00112628">
      <w:pPr>
        <w:spacing w:after="0" w:line="240" w:lineRule="auto"/>
        <w:jc w:val="both"/>
        <w:rPr>
          <w:rFonts w:ascii="Times New Roman" w:eastAsia="Times New Roman" w:hAnsi="Times New Roman" w:cs="Times New Roman"/>
          <w:b/>
          <w:bCs/>
        </w:rPr>
      </w:pPr>
    </w:p>
    <w:p w14:paraId="3F6F51BF" w14:textId="77777777" w:rsidR="002F0DA9" w:rsidRDefault="002F0DA9">
      <w:pPr>
        <w:spacing w:after="0" w:line="240" w:lineRule="auto"/>
        <w:jc w:val="both"/>
        <w:rPr>
          <w:rFonts w:ascii="Times New Roman" w:eastAsia="Times New Roman" w:hAnsi="Times New Roman" w:cs="Times New Roman"/>
          <w:b/>
          <w:bCs/>
        </w:rPr>
      </w:pPr>
    </w:p>
    <w:p w14:paraId="2C9FE182" w14:textId="77777777" w:rsidR="002F0DA9" w:rsidRDefault="002F0DA9">
      <w:pPr>
        <w:spacing w:after="0" w:line="240" w:lineRule="auto"/>
        <w:jc w:val="both"/>
        <w:rPr>
          <w:rFonts w:ascii="Times New Roman" w:eastAsia="Times New Roman" w:hAnsi="Times New Roman" w:cs="Times New Roman"/>
          <w:b/>
          <w:bCs/>
        </w:rPr>
      </w:pPr>
    </w:p>
    <w:p w14:paraId="0C9AF8E5" w14:textId="77777777" w:rsidR="002F0DA9" w:rsidRDefault="002F0DA9">
      <w:pPr>
        <w:spacing w:after="0" w:line="240" w:lineRule="auto"/>
        <w:jc w:val="both"/>
        <w:rPr>
          <w:rFonts w:ascii="Times New Roman" w:eastAsia="Times New Roman" w:hAnsi="Times New Roman" w:cs="Times New Roman"/>
          <w:b/>
          <w:bCs/>
        </w:rPr>
      </w:pPr>
    </w:p>
    <w:p w14:paraId="304B134D" w14:textId="77777777" w:rsidR="002F0DA9" w:rsidRDefault="002F0DA9">
      <w:pPr>
        <w:spacing w:after="0" w:line="240" w:lineRule="auto"/>
        <w:jc w:val="both"/>
        <w:rPr>
          <w:rFonts w:ascii="Times New Roman" w:eastAsia="Times New Roman" w:hAnsi="Times New Roman" w:cs="Times New Roman"/>
          <w:b/>
          <w:bCs/>
        </w:rPr>
      </w:pPr>
    </w:p>
    <w:p w14:paraId="4B304DF5" w14:textId="77777777" w:rsidR="002F0DA9" w:rsidRDefault="002F0DA9">
      <w:pPr>
        <w:spacing w:after="0" w:line="240" w:lineRule="auto"/>
        <w:jc w:val="both"/>
        <w:rPr>
          <w:rFonts w:ascii="Times New Roman" w:eastAsia="Times New Roman" w:hAnsi="Times New Roman" w:cs="Times New Roman"/>
          <w:b/>
          <w:bCs/>
        </w:rPr>
      </w:pPr>
    </w:p>
    <w:p w14:paraId="172B99CE" w14:textId="77777777" w:rsidR="002F0DA9" w:rsidRDefault="002F0DA9">
      <w:pPr>
        <w:spacing w:after="0" w:line="240" w:lineRule="auto"/>
        <w:jc w:val="both"/>
        <w:rPr>
          <w:rFonts w:ascii="Times New Roman" w:eastAsia="Times New Roman" w:hAnsi="Times New Roman" w:cs="Times New Roman"/>
          <w:b/>
          <w:bCs/>
        </w:rPr>
      </w:pPr>
    </w:p>
    <w:p w14:paraId="7EB83997" w14:textId="77777777" w:rsidR="002F0DA9" w:rsidRDefault="002F0DA9">
      <w:pPr>
        <w:spacing w:after="0" w:line="240" w:lineRule="auto"/>
        <w:jc w:val="both"/>
        <w:rPr>
          <w:rFonts w:ascii="Times New Roman" w:eastAsia="Times New Roman" w:hAnsi="Times New Roman" w:cs="Times New Roman"/>
          <w:b/>
          <w:bCs/>
        </w:rPr>
      </w:pPr>
    </w:p>
    <w:p w14:paraId="7C865A2D" w14:textId="77777777" w:rsidR="002F0DA9" w:rsidRDefault="002F0DA9">
      <w:pPr>
        <w:spacing w:after="0" w:line="240" w:lineRule="auto"/>
        <w:jc w:val="both"/>
        <w:rPr>
          <w:rFonts w:ascii="Times New Roman" w:eastAsia="Times New Roman" w:hAnsi="Times New Roman" w:cs="Times New Roman"/>
          <w:b/>
          <w:bCs/>
        </w:rPr>
      </w:pPr>
    </w:p>
    <w:p w14:paraId="493E6828" w14:textId="77777777" w:rsidR="002F0DA9" w:rsidRDefault="002F0DA9">
      <w:pPr>
        <w:spacing w:after="0" w:line="240" w:lineRule="auto"/>
        <w:jc w:val="both"/>
        <w:rPr>
          <w:rFonts w:ascii="Times New Roman" w:eastAsia="Times New Roman" w:hAnsi="Times New Roman" w:cs="Times New Roman"/>
          <w:b/>
          <w:bCs/>
        </w:rPr>
      </w:pPr>
    </w:p>
    <w:p w14:paraId="7A2EB173" w14:textId="77777777" w:rsidR="002F0DA9" w:rsidRDefault="002F0DA9">
      <w:pPr>
        <w:spacing w:after="0" w:line="240" w:lineRule="auto"/>
        <w:jc w:val="both"/>
        <w:rPr>
          <w:rFonts w:ascii="Times New Roman" w:eastAsia="Times New Roman" w:hAnsi="Times New Roman" w:cs="Times New Roman"/>
          <w:b/>
          <w:bCs/>
        </w:rPr>
      </w:pPr>
    </w:p>
    <w:p w14:paraId="6C5A90B2" w14:textId="77777777" w:rsidR="002F0DA9" w:rsidRDefault="002F0DA9">
      <w:pPr>
        <w:spacing w:after="0" w:line="240" w:lineRule="auto"/>
        <w:jc w:val="both"/>
        <w:rPr>
          <w:rFonts w:ascii="Times New Roman" w:eastAsia="Times New Roman" w:hAnsi="Times New Roman" w:cs="Times New Roman"/>
          <w:b/>
          <w:bCs/>
        </w:rPr>
      </w:pPr>
    </w:p>
    <w:p w14:paraId="696DE9AF" w14:textId="77777777" w:rsidR="002F0DA9" w:rsidRDefault="002F0DA9">
      <w:pPr>
        <w:spacing w:after="0" w:line="240" w:lineRule="auto"/>
        <w:jc w:val="both"/>
        <w:rPr>
          <w:rFonts w:ascii="Times New Roman" w:eastAsia="Times New Roman" w:hAnsi="Times New Roman" w:cs="Times New Roman"/>
          <w:b/>
          <w:bCs/>
        </w:rPr>
      </w:pPr>
    </w:p>
    <w:p w14:paraId="38AAC381" w14:textId="77777777" w:rsidR="002F0DA9" w:rsidRDefault="002F0DA9">
      <w:pPr>
        <w:spacing w:after="0" w:line="240" w:lineRule="auto"/>
        <w:jc w:val="both"/>
        <w:rPr>
          <w:rFonts w:ascii="Times New Roman" w:eastAsia="Times New Roman" w:hAnsi="Times New Roman" w:cs="Times New Roman"/>
          <w:b/>
          <w:bCs/>
        </w:rPr>
      </w:pPr>
    </w:p>
    <w:p w14:paraId="5001354A" w14:textId="77777777" w:rsidR="002F0DA9" w:rsidRDefault="00000000">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Introduction</w:t>
      </w:r>
    </w:p>
    <w:p w14:paraId="59664175" w14:textId="77777777" w:rsidR="002F0DA9" w:rsidRDefault="002F0DA9">
      <w:pPr>
        <w:spacing w:after="0" w:line="240" w:lineRule="auto"/>
        <w:jc w:val="both"/>
        <w:rPr>
          <w:rFonts w:ascii="Times New Roman" w:eastAsia="Times New Roman" w:hAnsi="Times New Roman" w:cs="Times New Roman"/>
          <w:b/>
          <w:bCs/>
        </w:rPr>
      </w:pPr>
    </w:p>
    <w:p w14:paraId="42E9FCB8" w14:textId="24C63C42" w:rsidR="002F0DA9" w:rsidRDefault="00000000"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Human Immunodeficiency Virus (HIV) continues to be a recurring health issue worldwide even after the availability of </w:t>
      </w:r>
      <w:r w:rsidR="00DF0C90" w:rsidRPr="00DF0C90">
        <w:rPr>
          <w:rFonts w:ascii="Times New Roman" w:eastAsia="Times New Roman" w:hAnsi="Times New Roman" w:cs="Times New Roman"/>
        </w:rPr>
        <w:t>antiretroviral therapy (ART)</w:t>
      </w:r>
      <w:r>
        <w:rPr>
          <w:rFonts w:ascii="Times New Roman" w:eastAsia="Times New Roman" w:hAnsi="Times New Roman" w:cs="Times New Roman"/>
        </w:rPr>
        <w:t xml:space="preserve"> that has been very effective in prolonging the lives of patients [1]. The first phase of the HIV infection process involves a highly specialized interaction between the viral envelope protein gp120, the CD4 receptor, and the chemokine co-receptor, mostly the C-C chemokine receptor 5 (CCR5) [2,3]. The importance of CCR5 is highlighted by its ability to allow viral infection of immune cells such as macrophages and T lymphocytes, thus making it an ideal target in the treatment of HIV [4]. In terms of clinical utility, the significance of inhibiting the function of CCR5 has been proven via the use of Maraviroc, which is the first CCR5 antagonist approved for the treatment of HIV infections. Maraviroc works by interfering with the gp120 interaction with the cellular receptor CCR5 through the binding of Maraviroc to CCR5, causing conformational changes in the latter [5]. Although Maraviroc is successful in practice, a few concerns are associated with its use, such as development of drug resistance, low efficacy against CXCR4-tropic viruses, and even some toxic side effects like liver toxicity [6].</w:t>
      </w:r>
    </w:p>
    <w:p w14:paraId="2591092B" w14:textId="77777777" w:rsidR="002F0DA9" w:rsidRDefault="002F0DA9">
      <w:pPr>
        <w:spacing w:after="0" w:line="240" w:lineRule="auto"/>
        <w:jc w:val="both"/>
        <w:rPr>
          <w:rFonts w:ascii="Times New Roman" w:eastAsia="Times New Roman" w:hAnsi="Times New Roman" w:cs="Times New Roman"/>
        </w:rPr>
      </w:pPr>
    </w:p>
    <w:p w14:paraId="481986CB" w14:textId="1B598FBC" w:rsidR="002F0DA9" w:rsidRDefault="00000000" w:rsidP="00931ACB">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Over the past few decades, there has been a significant development in drug discovery due to advances in the computational methodology, including Computer-Aided Drug Design (CADD). In this regard, machine learning (ML) algorithms have played an important role in modeling biological activity through the accurate and effective screening of massive chemical libraries [7]. Out of the many ML algorithms developed, Extreme Gradient Boosting (XGBoost) algorithm is gaining immense popularity due to its effectiveness, robustness, and better modeling capacity [8]. The combination of such ML methodologies with structural modeling approaches like molecular docking and pharmacokinetic ADMET prediction makes for highly efficient early-stage drug discovery processes [9,10]. Drug discovery is an elaborate process that can take several years and a lot of money to identify and develop a good lead compound. It is within this framework that </w:t>
      </w:r>
      <w:r>
        <w:rPr>
          <w:rFonts w:ascii="Times New Roman" w:eastAsia="Times New Roman" w:hAnsi="Times New Roman" w:cs="Times New Roman"/>
          <w:i/>
          <w:iCs/>
        </w:rPr>
        <w:t>in silico</w:t>
      </w:r>
      <w:r>
        <w:rPr>
          <w:rFonts w:ascii="Times New Roman" w:eastAsia="Times New Roman" w:hAnsi="Times New Roman" w:cs="Times New Roman"/>
        </w:rPr>
        <w:t xml:space="preserve"> methods become an effective tool for discovering drug candidates that exhibit excellent bioactivity and pharmacokinetics. The use of both ligand-based and structure-based techniques can effectively accomplish this objective [11, 12].</w:t>
      </w:r>
    </w:p>
    <w:p w14:paraId="1655013A" w14:textId="77777777" w:rsidR="002F0DA9" w:rsidRDefault="002F0DA9">
      <w:pPr>
        <w:spacing w:after="0" w:line="240" w:lineRule="auto"/>
        <w:jc w:val="both"/>
        <w:rPr>
          <w:rFonts w:ascii="Times New Roman" w:eastAsia="Times New Roman" w:hAnsi="Times New Roman" w:cs="Times New Roman"/>
        </w:rPr>
      </w:pPr>
    </w:p>
    <w:p w14:paraId="561CBBA0" w14:textId="77777777" w:rsidR="002F0DA9" w:rsidRDefault="00000000" w:rsidP="00931ACB">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integration of ML-based virtual screening with natural-product-oriented chemical databases provides an attractive strategy for discovering new molecular scaffolds against therapeutically relevant targets such as CCR5. FooDB currently contains more than 70,000 listed compounds and incorporates information on chemical structures, biological activities, physicochemical characteristics, and food sources, creating an extensive chemical space for systematic computational screening [13]. Recent studies have demonstrated the feasibility of applying machine learning to FooDB-derived compounds for predicting health-associated biological activities, although the uneven distribution of activity annotations remains an important challenge for model development and validation [14]. Combining XGBoost-based prediction with subsequent pharmacokinetic and toxicity assessment can therefore facilitate the prioritization of compounds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biological and drug-like properties. Furthermore, structure-based methods such as molecular docking can provide complementary information by evaluating the potential binding modes and interactions of prioritized molecules within the CCR5 ligand-binding pocket. The availability of the experimentally determined CCR5–maraviroc structure provides a suitable structural framework for such investigations [15, 16]. Accordingly, the present study employed an integrated XGBoost-driven virtual screening strategy to interrogate the FooDB chemical space for potential high-affinity CCR5 </w:t>
      </w:r>
      <w:r>
        <w:rPr>
          <w:rFonts w:ascii="Times New Roman" w:eastAsia="Times New Roman" w:hAnsi="Times New Roman" w:cs="Times New Roman"/>
        </w:rPr>
        <w:lastRenderedPageBreak/>
        <w:t>inhibitors, followed by ADMET assessment and molecular docking to prioritize promising candidates for further computational and experimental investigation.</w:t>
      </w:r>
    </w:p>
    <w:p w14:paraId="2756D3C0" w14:textId="77777777" w:rsidR="002F0DA9" w:rsidRDefault="002F0DA9">
      <w:pPr>
        <w:spacing w:after="0" w:line="240" w:lineRule="auto"/>
        <w:jc w:val="both"/>
        <w:rPr>
          <w:rFonts w:ascii="Times New Roman" w:eastAsia="Times New Roman" w:hAnsi="Times New Roman" w:cs="Times New Roman"/>
        </w:rPr>
      </w:pPr>
    </w:p>
    <w:p w14:paraId="4906326F" w14:textId="595B72CB" w:rsidR="002F0DA9" w:rsidRDefault="00293FE1">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2 Materials and methods</w:t>
      </w:r>
    </w:p>
    <w:p w14:paraId="0DC9A352" w14:textId="77777777" w:rsidR="002F0DA9" w:rsidRDefault="002F0DA9">
      <w:pPr>
        <w:spacing w:after="0" w:line="240" w:lineRule="auto"/>
        <w:jc w:val="both"/>
        <w:rPr>
          <w:rFonts w:ascii="Times New Roman" w:eastAsia="Times New Roman" w:hAnsi="Times New Roman" w:cs="Times New Roman"/>
          <w:b/>
          <w:bCs/>
        </w:rPr>
      </w:pPr>
    </w:p>
    <w:p w14:paraId="0B8B2FD9" w14:textId="7E573395" w:rsidR="002F0DA9" w:rsidRPr="00A3200E" w:rsidRDefault="00000000" w:rsidP="00A3200E">
      <w:pPr>
        <w:pStyle w:val="ListParagraph"/>
        <w:numPr>
          <w:ilvl w:val="1"/>
          <w:numId w:val="11"/>
        </w:numPr>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Machine Learning-Based Prediction of CCR5 Inhibitors</w:t>
      </w:r>
    </w:p>
    <w:p w14:paraId="75B74E01" w14:textId="77777777" w:rsidR="002F0DA9" w:rsidRDefault="002F0DA9">
      <w:pPr>
        <w:spacing w:after="0" w:line="240" w:lineRule="auto"/>
        <w:jc w:val="both"/>
        <w:rPr>
          <w:rFonts w:ascii="Times New Roman" w:eastAsia="Times New Roman" w:hAnsi="Times New Roman" w:cs="Times New Roman"/>
          <w:i/>
          <w:iCs/>
        </w:rPr>
      </w:pPr>
    </w:p>
    <w:p w14:paraId="143862B8" w14:textId="6F84C982" w:rsidR="002F0DA9" w:rsidRPr="005F1E18" w:rsidRDefault="00A3200E" w:rsidP="00A3200E">
      <w:pPr>
        <w:pBdr>
          <w:top w:val="nil"/>
          <w:left w:val="nil"/>
          <w:bottom w:val="nil"/>
          <w:right w:val="nil"/>
          <w:between w:val="nil"/>
        </w:pBdr>
        <w:tabs>
          <w:tab w:val="left" w:pos="720"/>
          <w:tab w:val="left" w:pos="1170"/>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2.1.1 </w:t>
      </w:r>
      <w:r w:rsidRPr="005F1E18">
        <w:rPr>
          <w:rFonts w:ascii="Times New Roman" w:eastAsia="Times New Roman" w:hAnsi="Times New Roman" w:cs="Times New Roman"/>
          <w:b/>
          <w:bCs/>
          <w:color w:val="000000"/>
        </w:rPr>
        <w:t xml:space="preserve">Data Collection </w:t>
      </w:r>
    </w:p>
    <w:p w14:paraId="522FE51D" w14:textId="77777777" w:rsidR="002F0DA9" w:rsidRDefault="002F0DA9">
      <w:pPr>
        <w:spacing w:after="0" w:line="240" w:lineRule="auto"/>
        <w:jc w:val="both"/>
        <w:rPr>
          <w:rFonts w:ascii="Times New Roman" w:eastAsia="Times New Roman" w:hAnsi="Times New Roman" w:cs="Times New Roman"/>
        </w:rPr>
      </w:pPr>
    </w:p>
    <w:p w14:paraId="12757330" w14:textId="77777777" w:rsidR="002F0DA9" w:rsidRDefault="00000000"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machine learning approach was employed to predict prospective CCR5 inhibitors using publicly accessible chemical and bioactivity databases. The initial dataset comprised 13,104 chemical compounds, including active CCR5 inhibitors (6545) obtained from </w:t>
      </w:r>
      <w:proofErr w:type="spellStart"/>
      <w:r>
        <w:rPr>
          <w:rFonts w:ascii="Times New Roman" w:eastAsia="Times New Roman" w:hAnsi="Times New Roman" w:cs="Times New Roman"/>
        </w:rPr>
        <w:t>BindingDB</w:t>
      </w:r>
      <w:proofErr w:type="spellEnd"/>
      <w:r>
        <w:rPr>
          <w:rFonts w:ascii="Times New Roman" w:eastAsia="Times New Roman" w:hAnsi="Times New Roman" w:cs="Times New Roman"/>
        </w:rPr>
        <w:t xml:space="preserve"> [17] and inactive compounds (6552) sourced from PubChem [18]. Consequently, a curated dataset of 13,097 compounds was obtained, comprising 6,545 active and 6,552 inactive compounds, and was used for subsequent machine learning model development.</w:t>
      </w:r>
    </w:p>
    <w:p w14:paraId="3ED0B042" w14:textId="77777777" w:rsidR="002F0DA9" w:rsidRDefault="002F0DA9">
      <w:pPr>
        <w:tabs>
          <w:tab w:val="left" w:pos="1170"/>
        </w:tabs>
        <w:spacing w:after="0" w:line="240" w:lineRule="auto"/>
        <w:ind w:left="360"/>
        <w:jc w:val="both"/>
        <w:rPr>
          <w:rFonts w:ascii="Times New Roman" w:eastAsia="Times New Roman" w:hAnsi="Times New Roman" w:cs="Times New Roman"/>
          <w:b/>
          <w:bCs/>
        </w:rPr>
      </w:pPr>
    </w:p>
    <w:p w14:paraId="6706BA2D" w14:textId="258AAE5C" w:rsidR="002F0DA9" w:rsidRPr="00A3200E" w:rsidRDefault="00866202" w:rsidP="00A3200E">
      <w:pPr>
        <w:pStyle w:val="ListParagraph"/>
        <w:numPr>
          <w:ilvl w:val="2"/>
          <w:numId w:val="10"/>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sidRPr="00A3200E">
        <w:rPr>
          <w:rFonts w:ascii="Times New Roman" w:eastAsia="Times New Roman" w:hAnsi="Times New Roman" w:cs="Times New Roman"/>
          <w:b/>
          <w:bCs/>
          <w:color w:val="000000"/>
        </w:rPr>
        <w:t xml:space="preserve">Fingerprint generation </w:t>
      </w:r>
    </w:p>
    <w:p w14:paraId="08214743" w14:textId="77777777" w:rsidR="002F0DA9" w:rsidRDefault="002F0DA9">
      <w:pPr>
        <w:tabs>
          <w:tab w:val="left" w:pos="1170"/>
        </w:tabs>
        <w:spacing w:after="0" w:line="240" w:lineRule="auto"/>
        <w:jc w:val="both"/>
        <w:rPr>
          <w:rFonts w:ascii="Times New Roman" w:eastAsia="Times New Roman" w:hAnsi="Times New Roman" w:cs="Times New Roman"/>
          <w:b/>
          <w:bCs/>
        </w:rPr>
      </w:pPr>
    </w:p>
    <w:p w14:paraId="7FB792ED" w14:textId="4E05E109" w:rsidR="002F0DA9" w:rsidRDefault="00D00A24"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Simplified Molecular Input Line Entry System (SMILES) codes for all compounds (13,097) were processed using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which is a cheminformatics software library available in the public domain [19], to obtain chemical descriptors, and calculate Morgan fingerprints (with radius = 2, bits = 1024) [20] for encoding the structural information of compounds. All the machine learning algorithms used in this paper have been coded in Python (version 3.12.3) [21], in the Anaconda environment [22], under the Spyder IDE [23].</w:t>
      </w:r>
    </w:p>
    <w:p w14:paraId="408C9A24" w14:textId="77777777" w:rsidR="002F0DA9" w:rsidRDefault="002F0DA9">
      <w:pPr>
        <w:spacing w:after="0" w:line="240" w:lineRule="auto"/>
        <w:jc w:val="both"/>
        <w:rPr>
          <w:rFonts w:ascii="Times New Roman" w:eastAsia="Times New Roman" w:hAnsi="Times New Roman" w:cs="Times New Roman"/>
        </w:rPr>
      </w:pPr>
    </w:p>
    <w:p w14:paraId="6D021D49" w14:textId="6EC841E2" w:rsidR="002F0DA9" w:rsidRPr="00A3200E" w:rsidRDefault="00A3200E" w:rsidP="00A3200E">
      <w:pPr>
        <w:pStyle w:val="ListParagraph"/>
        <w:numPr>
          <w:ilvl w:val="2"/>
          <w:numId w:val="9"/>
        </w:numPr>
        <w:pBdr>
          <w:top w:val="nil"/>
          <w:left w:val="nil"/>
          <w:bottom w:val="nil"/>
          <w:right w:val="nil"/>
          <w:between w:val="nil"/>
        </w:pBdr>
        <w:tabs>
          <w:tab w:val="left" w:pos="567"/>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r w:rsidRPr="00A3200E">
        <w:rPr>
          <w:rFonts w:ascii="Times New Roman" w:eastAsia="Times New Roman" w:hAnsi="Times New Roman" w:cs="Times New Roman"/>
          <w:b/>
          <w:bCs/>
          <w:color w:val="000000"/>
        </w:rPr>
        <w:t xml:space="preserve">Model training </w:t>
      </w:r>
    </w:p>
    <w:p w14:paraId="052A5AEE" w14:textId="77777777" w:rsidR="002F0DA9" w:rsidRDefault="002F0DA9">
      <w:pPr>
        <w:tabs>
          <w:tab w:val="left" w:pos="1170"/>
        </w:tabs>
        <w:spacing w:after="0" w:line="240" w:lineRule="auto"/>
        <w:jc w:val="both"/>
        <w:rPr>
          <w:rFonts w:ascii="Times New Roman" w:eastAsia="Times New Roman" w:hAnsi="Times New Roman" w:cs="Times New Roman"/>
          <w:b/>
          <w:bCs/>
        </w:rPr>
      </w:pPr>
    </w:p>
    <w:p w14:paraId="44EF1508" w14:textId="5A820540" w:rsidR="002F0DA9" w:rsidRDefault="00000000"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generated molecular fingerprint dataset was randomly divided into a training set (70%) and an independent test set (30%). The training set was used to develop and optimize the XGBoost model, while the test set was reserved for evaluating its predictive performance on unseen compounds. A supervised XGBoost classifier algorithm was used for discrimination between active (1) and inactive (0) molecules because of its excellent predictive power and capability to detect non-linear interactions in chemical data [24]. The performance of the model was assessed based on different measures, such as accuracy, precision, recall, F1-score, </w:t>
      </w:r>
      <w:r w:rsidR="00096FC6" w:rsidRPr="00096FC6">
        <w:rPr>
          <w:rFonts w:ascii="Times New Roman" w:eastAsia="Times New Roman" w:hAnsi="Times New Roman" w:cs="Times New Roman"/>
        </w:rPr>
        <w:t>Receiver Operating Characteristic</w:t>
      </w:r>
      <w:r w:rsidR="00096FC6">
        <w:rPr>
          <w:rFonts w:ascii="Times New Roman" w:eastAsia="Times New Roman" w:hAnsi="Times New Roman" w:cs="Times New Roman"/>
        </w:rPr>
        <w:t xml:space="preserve"> (</w:t>
      </w:r>
      <w:r>
        <w:rPr>
          <w:rFonts w:ascii="Times New Roman" w:eastAsia="Times New Roman" w:hAnsi="Times New Roman" w:cs="Times New Roman"/>
        </w:rPr>
        <w:t>ROC</w:t>
      </w:r>
      <w:r w:rsidR="00096FC6">
        <w:rPr>
          <w:rFonts w:ascii="Times New Roman" w:eastAsia="Times New Roman" w:hAnsi="Times New Roman" w:cs="Times New Roman"/>
        </w:rPr>
        <w:t>)</w:t>
      </w:r>
      <w:r>
        <w:rPr>
          <w:rFonts w:ascii="Times New Roman" w:eastAsia="Times New Roman" w:hAnsi="Times New Roman" w:cs="Times New Roman"/>
        </w:rPr>
        <w:t xml:space="preserve"> curve, and area under the curve (AUC) [25]. Feature selection was carried out in order to determine the significant fingerprint descriptors that influence the CCR5 inhibitor activity.</w:t>
      </w:r>
    </w:p>
    <w:p w14:paraId="2306B311" w14:textId="77777777" w:rsidR="002F0DA9" w:rsidRDefault="002F0DA9">
      <w:pPr>
        <w:spacing w:after="0" w:line="240" w:lineRule="auto"/>
        <w:ind w:firstLine="720"/>
        <w:jc w:val="both"/>
        <w:rPr>
          <w:rFonts w:ascii="Times New Roman" w:eastAsia="Times New Roman" w:hAnsi="Times New Roman" w:cs="Times New Roman"/>
        </w:rPr>
      </w:pPr>
    </w:p>
    <w:p w14:paraId="531060E0" w14:textId="6738939E" w:rsidR="002F0DA9" w:rsidRPr="00A3200E" w:rsidRDefault="00000000" w:rsidP="00A3200E">
      <w:pPr>
        <w:pStyle w:val="ListParagraph"/>
        <w:numPr>
          <w:ilvl w:val="2"/>
          <w:numId w:val="8"/>
        </w:numPr>
        <w:pBdr>
          <w:top w:val="nil"/>
          <w:left w:val="nil"/>
          <w:bottom w:val="nil"/>
          <w:right w:val="nil"/>
          <w:between w:val="nil"/>
        </w:pBdr>
        <w:tabs>
          <w:tab w:val="left" w:pos="1170"/>
        </w:tabs>
        <w:spacing w:after="0" w:line="240" w:lineRule="auto"/>
        <w:jc w:val="both"/>
        <w:rPr>
          <w:rFonts w:ascii="Times New Roman" w:eastAsia="Times New Roman" w:hAnsi="Times New Roman" w:cs="Times New Roman"/>
          <w:b/>
          <w:bCs/>
          <w:color w:val="000000"/>
        </w:rPr>
      </w:pPr>
      <w:r w:rsidRPr="00A3200E">
        <w:rPr>
          <w:rFonts w:ascii="Times New Roman" w:eastAsia="Times New Roman" w:hAnsi="Times New Roman" w:cs="Times New Roman"/>
          <w:b/>
          <w:bCs/>
          <w:color w:val="000000"/>
        </w:rPr>
        <w:t>Model Prediction</w:t>
      </w:r>
    </w:p>
    <w:p w14:paraId="36615914" w14:textId="77777777" w:rsidR="002F0DA9" w:rsidRDefault="002F0DA9">
      <w:pPr>
        <w:tabs>
          <w:tab w:val="left" w:pos="1170"/>
        </w:tabs>
        <w:spacing w:after="0" w:line="240" w:lineRule="auto"/>
        <w:jc w:val="both"/>
        <w:rPr>
          <w:rFonts w:ascii="Times New Roman" w:eastAsia="Times New Roman" w:hAnsi="Times New Roman" w:cs="Times New Roman"/>
        </w:rPr>
      </w:pPr>
    </w:p>
    <w:p w14:paraId="4FA316BA" w14:textId="2BF18C9E"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trained XGBoost classifier was subsequently applied to a large chemical library obtained from the FooDB database (</w:t>
      </w:r>
      <w:hyperlink r:id="rId7">
        <w:r w:rsidR="002F0DA9">
          <w:rPr>
            <w:rFonts w:ascii="Times New Roman" w:eastAsia="Times New Roman" w:hAnsi="Times New Roman" w:cs="Times New Roman"/>
            <w:color w:val="0563C1"/>
          </w:rPr>
          <w:t>https://foodb.ca/</w:t>
        </w:r>
      </w:hyperlink>
      <w:r>
        <w:rPr>
          <w:rFonts w:ascii="Times New Roman" w:eastAsia="Times New Roman" w:hAnsi="Times New Roman" w:cs="Times New Roman"/>
        </w:rPr>
        <w:t xml:space="preserve">), comprising 69,606 compounds [26]. For each compound, circular molecular fingerprints (radius = 2; 1024 bits) were generated using the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cheminformatics toolkit and used as input features for the trained XGBoost model. Based on the model predictions, 10,329 compounds were classified as potentially active against the target. To further prioritize the most promising candidates, the predicted active compounds were ranked according to their predicted probability of activity, and the 2,000 compounds with the highest predicted probabilities were selected for subsequent evaluation of drug-likeness properties. This sequential screening strategy substantially reduced the size of the initial FooDB chemical space while retaining compounds with a high predicted likelihood of </w:t>
      </w:r>
      <w:r>
        <w:rPr>
          <w:rFonts w:ascii="Times New Roman" w:eastAsia="Times New Roman" w:hAnsi="Times New Roman" w:cs="Times New Roman"/>
        </w:rPr>
        <w:lastRenderedPageBreak/>
        <w:t>biological activity. The prioritized compounds were then subjected to further computational analysis, including drug-likeness and ADMET profiling, before molecular docking studies against CCR5.</w:t>
      </w:r>
    </w:p>
    <w:p w14:paraId="3EABBBD5" w14:textId="77777777" w:rsidR="002F0DA9" w:rsidRDefault="002F0DA9">
      <w:pPr>
        <w:tabs>
          <w:tab w:val="left" w:pos="1170"/>
        </w:tabs>
        <w:spacing w:after="0" w:line="240" w:lineRule="auto"/>
        <w:jc w:val="both"/>
        <w:rPr>
          <w:rFonts w:ascii="Times New Roman" w:eastAsia="Times New Roman" w:hAnsi="Times New Roman" w:cs="Times New Roman"/>
        </w:rPr>
      </w:pPr>
    </w:p>
    <w:p w14:paraId="5D51A12F" w14:textId="6E537915" w:rsidR="002F0DA9" w:rsidRPr="00A3200E" w:rsidRDefault="00000000" w:rsidP="00A3200E">
      <w:pPr>
        <w:pStyle w:val="ListParagraph"/>
        <w:numPr>
          <w:ilvl w:val="1"/>
          <w:numId w:val="8"/>
        </w:numPr>
        <w:tabs>
          <w:tab w:val="left" w:pos="1152"/>
        </w:tabs>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Virtual Screening</w:t>
      </w:r>
    </w:p>
    <w:p w14:paraId="1FA17ADE"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10F3549E" w14:textId="37D8FDD0" w:rsidR="002F0DA9" w:rsidRPr="005F1E18" w:rsidRDefault="00A3200E" w:rsidP="00A3200E">
      <w:pPr>
        <w:pBdr>
          <w:top w:val="nil"/>
          <w:left w:val="nil"/>
          <w:bottom w:val="nil"/>
          <w:right w:val="nil"/>
          <w:between w:val="nil"/>
        </w:pBdr>
        <w:tabs>
          <w:tab w:val="left" w:pos="630"/>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2.2.1 </w:t>
      </w:r>
      <w:r w:rsidRPr="005F1E18">
        <w:rPr>
          <w:rFonts w:ascii="Times New Roman" w:eastAsia="Times New Roman" w:hAnsi="Times New Roman" w:cs="Times New Roman"/>
          <w:b/>
          <w:bCs/>
          <w:color w:val="000000"/>
        </w:rPr>
        <w:t>Drug-likeness properties</w:t>
      </w:r>
    </w:p>
    <w:p w14:paraId="6201ED31"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7EF548B0" w14:textId="77777777" w:rsidR="002F0DA9" w:rsidRDefault="00000000"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Following machine learning-based virtual screening, the 2,000 prioritized compounds were subjected to drug-likeness assessment to identify molecules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physicochemical properties and potential suitability for oral administration. Drug-likeness was evaluated using the Lipinski, Ghose, Veber, and Egan filters through </w:t>
      </w:r>
      <w:proofErr w:type="spellStart"/>
      <w:r>
        <w:rPr>
          <w:rFonts w:ascii="Times New Roman" w:eastAsia="Times New Roman" w:hAnsi="Times New Roman" w:cs="Times New Roman"/>
        </w:rPr>
        <w:t>SwissADME</w:t>
      </w:r>
      <w:proofErr w:type="spellEnd"/>
      <w:r>
        <w:rPr>
          <w:rFonts w:ascii="Times New Roman" w:eastAsia="Times New Roman" w:hAnsi="Times New Roman" w:cs="Times New Roman"/>
        </w:rPr>
        <w:t xml:space="preserve"> (</w:t>
      </w:r>
      <w:hyperlink r:id="rId8">
        <w:r w:rsidR="002F0DA9">
          <w:rPr>
            <w:rFonts w:ascii="Times New Roman" w:eastAsia="Times New Roman" w:hAnsi="Times New Roman" w:cs="Times New Roman"/>
            <w:color w:val="0563C1"/>
            <w:u w:val="single"/>
          </w:rPr>
          <w:t>https://www.swissadme.ch/</w:t>
        </w:r>
      </w:hyperlink>
      <w:r>
        <w:rPr>
          <w:rFonts w:ascii="Times New Roman" w:eastAsia="Times New Roman" w:hAnsi="Times New Roman" w:cs="Times New Roman"/>
        </w:rPr>
        <w:t>). Lipinski’s Rule of Five evaluates key physicochemical parameters, including molecular weight, lipophilicity (</w:t>
      </w: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hydrogen-bond donor count, and hydrogen-bond acceptor count, to identify compounds with properties generally associated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oral bioavailability [27]. The Ghose, Veber, and Egan filters provide complementary criteria based on molecular size, lipophilicity, polar surface area, rotatable bonds, and related physicochemical characteristics [28, 29, 30]. Compounds satisfying the established criteria were retained for subsequent ADMET profiling and molecular docking studies against the CCR5 receptor.</w:t>
      </w:r>
    </w:p>
    <w:p w14:paraId="22F28A9D"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4DBC7A7B" w14:textId="6D022D95" w:rsidR="002F0DA9" w:rsidRPr="00A3200E" w:rsidRDefault="00000000" w:rsidP="00A3200E">
      <w:pPr>
        <w:pStyle w:val="ListParagraph"/>
        <w:numPr>
          <w:ilvl w:val="2"/>
          <w:numId w:val="12"/>
        </w:numPr>
        <w:pBdr>
          <w:top w:val="nil"/>
          <w:left w:val="nil"/>
          <w:bottom w:val="nil"/>
          <w:right w:val="nil"/>
          <w:between w:val="nil"/>
        </w:pBdr>
        <w:tabs>
          <w:tab w:val="left" w:pos="630"/>
        </w:tabs>
        <w:spacing w:after="0" w:line="240" w:lineRule="auto"/>
        <w:jc w:val="both"/>
        <w:rPr>
          <w:rFonts w:ascii="Times New Roman" w:eastAsia="Times New Roman" w:hAnsi="Times New Roman" w:cs="Times New Roman"/>
          <w:b/>
          <w:bCs/>
          <w:color w:val="000000"/>
        </w:rPr>
      </w:pPr>
      <w:r w:rsidRPr="00A3200E">
        <w:rPr>
          <w:rFonts w:ascii="Times New Roman" w:eastAsia="Times New Roman" w:hAnsi="Times New Roman" w:cs="Times New Roman"/>
          <w:b/>
          <w:bCs/>
          <w:color w:val="000000"/>
        </w:rPr>
        <w:t>ADMET Screening</w:t>
      </w:r>
    </w:p>
    <w:p w14:paraId="52B3AB88" w14:textId="77777777" w:rsidR="002F0DA9" w:rsidRDefault="002F0DA9">
      <w:pPr>
        <w:pBdr>
          <w:top w:val="nil"/>
          <w:left w:val="nil"/>
          <w:bottom w:val="nil"/>
          <w:right w:val="nil"/>
          <w:between w:val="nil"/>
        </w:pBdr>
        <w:tabs>
          <w:tab w:val="left" w:pos="1152"/>
        </w:tabs>
        <w:spacing w:after="0" w:line="240" w:lineRule="auto"/>
        <w:ind w:left="1170"/>
        <w:jc w:val="both"/>
        <w:rPr>
          <w:rFonts w:ascii="Times New Roman" w:eastAsia="Times New Roman" w:hAnsi="Times New Roman" w:cs="Times New Roman"/>
          <w:b/>
          <w:bCs/>
          <w:color w:val="000000"/>
        </w:rPr>
      </w:pPr>
    </w:p>
    <w:p w14:paraId="51C85AFE" w14:textId="77777777" w:rsidR="002F0DA9" w:rsidRDefault="00000000"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pharmacokinetic and safety profiles of the compounds that passed the drug-likeness filters were evaluated using Deep-PK (</w:t>
      </w:r>
      <w:hyperlink r:id="rId9">
        <w:r w:rsidR="002F0DA9">
          <w:rPr>
            <w:rFonts w:ascii="Times New Roman" w:eastAsia="Times New Roman" w:hAnsi="Times New Roman" w:cs="Times New Roman"/>
            <w:color w:val="0563C1"/>
            <w:u w:val="single"/>
          </w:rPr>
          <w:t>https://biosig.lab.uq.edu.au/deeppk/</w:t>
        </w:r>
      </w:hyperlink>
      <w:r>
        <w:rPr>
          <w:rFonts w:ascii="Times New Roman" w:eastAsia="Times New Roman" w:hAnsi="Times New Roman" w:cs="Times New Roman"/>
        </w:rPr>
        <w:t>), a deep learning-based web platform for predicting the pharmacokinetic and toxicity properties of small molecules [31]. The assessment included key pharmacokinetic parameters related to absorption and distribution, including human intestinal absorption (HIA), blood–brain barrier (BBB) permeability, and interactions with drug transporters such as P-glycoprotein (P-</w:t>
      </w:r>
      <w:proofErr w:type="spellStart"/>
      <w:r>
        <w:rPr>
          <w:rFonts w:ascii="Times New Roman" w:eastAsia="Times New Roman" w:hAnsi="Times New Roman" w:cs="Times New Roman"/>
        </w:rPr>
        <w:t>gp</w:t>
      </w:r>
      <w:proofErr w:type="spellEnd"/>
      <w:r>
        <w:rPr>
          <w:rFonts w:ascii="Times New Roman" w:eastAsia="Times New Roman" w:hAnsi="Times New Roman" w:cs="Times New Roman"/>
        </w:rPr>
        <w:t>) and organic cation transporter 2 (OCT2) [32]. Metabolic properties were evaluated based on the predicted interactions of the compounds with cytochrome P450 (CYP) enzymes, particularly their potential to act as substrates of CYP1A2 and inhibitors of CYP2D6. The toxicity profiles were assessed using predictions of Ames mutagenicity, carcinogenicity, and human ether-à-go-go-related gene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 channel inhibition, the latter being an important indicator of potential cardiac toxicity [33]. Only compounds exhibiting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pharmacokinetic characteristics, including good intestinal absorption and acceptable distribution and metabolic profiles, together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safety predictions (non-mutagenic, non-carcinogenic, and low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 inhibition potential), were prioritized for subsequent molecular docking studies against the CCR5 receptor. </w:t>
      </w:r>
    </w:p>
    <w:p w14:paraId="0E57B345" w14:textId="77777777" w:rsidR="002F0DA9" w:rsidRDefault="002F0DA9">
      <w:pPr>
        <w:spacing w:after="0" w:line="240" w:lineRule="auto"/>
        <w:jc w:val="both"/>
        <w:rPr>
          <w:rFonts w:ascii="Times New Roman" w:eastAsia="Times New Roman" w:hAnsi="Times New Roman" w:cs="Times New Roman"/>
        </w:rPr>
      </w:pPr>
    </w:p>
    <w:p w14:paraId="55850E3F" w14:textId="77777777" w:rsidR="002F0DA9" w:rsidRPr="005F1E18" w:rsidRDefault="00000000" w:rsidP="00A3200E">
      <w:pPr>
        <w:numPr>
          <w:ilvl w:val="2"/>
          <w:numId w:val="12"/>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sidRPr="005F1E18">
        <w:rPr>
          <w:rFonts w:ascii="Times New Roman" w:eastAsia="Times New Roman" w:hAnsi="Times New Roman" w:cs="Times New Roman"/>
          <w:b/>
          <w:bCs/>
          <w:color w:val="000000"/>
        </w:rPr>
        <w:t xml:space="preserve">Molecular Docking </w:t>
      </w:r>
    </w:p>
    <w:p w14:paraId="6C8058DB" w14:textId="77777777" w:rsidR="002F0DA9" w:rsidRDefault="002F0DA9">
      <w:pPr>
        <w:tabs>
          <w:tab w:val="left" w:pos="1152"/>
        </w:tabs>
        <w:spacing w:after="0" w:line="240" w:lineRule="auto"/>
        <w:rPr>
          <w:rFonts w:ascii="Times New Roman" w:eastAsia="Times New Roman" w:hAnsi="Times New Roman" w:cs="Times New Roman"/>
          <w:b/>
          <w:bCs/>
        </w:rPr>
      </w:pPr>
    </w:p>
    <w:p w14:paraId="12DDBED3" w14:textId="5FFD6846"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Molecular docking studies have been conducted to examine the binding affinity of the 11 identified lead molecules towards the CCR5 receptor. The Crystal Structure of the CCR5 Chemokine Receptor (PDB</w:t>
      </w:r>
      <w:r w:rsidR="00A076F9">
        <w:rPr>
          <w:rFonts w:ascii="Times New Roman" w:eastAsia="Times New Roman" w:hAnsi="Times New Roman" w:cs="Times New Roman"/>
        </w:rPr>
        <w:t xml:space="preserve"> </w:t>
      </w:r>
      <w:r>
        <w:rPr>
          <w:rFonts w:ascii="Times New Roman" w:eastAsia="Times New Roman" w:hAnsi="Times New Roman" w:cs="Times New Roman"/>
        </w:rPr>
        <w:t>ID 4MBS) was obtained from the Protein Data Bank (</w:t>
      </w:r>
      <w:hyperlink r:id="rId10">
        <w:r w:rsidR="002F0DA9">
          <w:rPr>
            <w:rFonts w:ascii="Times New Roman" w:eastAsia="Times New Roman" w:hAnsi="Times New Roman" w:cs="Times New Roman"/>
            <w:color w:val="0563C1"/>
            <w:u w:val="single"/>
          </w:rPr>
          <w:t>https://www.rcsb.org/structure/4MBS</w:t>
        </w:r>
      </w:hyperlink>
      <w:r>
        <w:rPr>
          <w:rFonts w:ascii="Times New Roman" w:eastAsia="Times New Roman" w:hAnsi="Times New Roman" w:cs="Times New Roman"/>
        </w:rPr>
        <w:t xml:space="preserve">) [34]. The acquired protein structure was processed in BIOVIA Discovery Studio [35]. In the process of protein preparation, only chain A was retained, while all other chains, co-crystallized ligands, heteroatoms, and water molecules were eliminated to acquire a receptor structure for docking [36]. The addition of polar hydrogens and assigning the Kollman charges on the receptor molecule were performed to account for the </w:t>
      </w:r>
      <w:r>
        <w:rPr>
          <w:rFonts w:ascii="Times New Roman" w:eastAsia="Times New Roman" w:hAnsi="Times New Roman" w:cs="Times New Roman"/>
        </w:rPr>
        <w:lastRenderedPageBreak/>
        <w:t>electrostatic interactions. Finally, the prepared receptor structure was exported to the PDBQT file format to be used in the docking simulation studies.</w:t>
      </w:r>
    </w:p>
    <w:p w14:paraId="5FEE6277" w14:textId="77777777" w:rsidR="002F0DA9" w:rsidRDefault="002F0DA9">
      <w:pPr>
        <w:tabs>
          <w:tab w:val="left" w:pos="1152"/>
        </w:tabs>
        <w:spacing w:after="0" w:line="240" w:lineRule="auto"/>
        <w:jc w:val="both"/>
        <w:rPr>
          <w:rFonts w:ascii="Times New Roman" w:eastAsia="Times New Roman" w:hAnsi="Times New Roman" w:cs="Times New Roman"/>
        </w:rPr>
      </w:pPr>
    </w:p>
    <w:p w14:paraId="574469D0" w14:textId="0F0F27D1" w:rsidR="002F0DA9" w:rsidRDefault="00931ACB">
      <w:pPr>
        <w:tabs>
          <w:tab w:val="left" w:pos="45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For molecular docking studies, the chemical structure of the selected 11 lead compounds was used, which have been determined through virtual screening using the machine learning approach (</w:t>
      </w:r>
      <w:r>
        <w:rPr>
          <w:rFonts w:ascii="Times New Roman" w:eastAsia="Times New Roman" w:hAnsi="Times New Roman" w:cs="Times New Roman"/>
          <w:b/>
          <w:bCs/>
        </w:rPr>
        <w:t>Fig. 1</w:t>
      </w:r>
      <w:r>
        <w:rPr>
          <w:rFonts w:ascii="Times New Roman" w:eastAsia="Times New Roman" w:hAnsi="Times New Roman" w:cs="Times New Roman"/>
        </w:rPr>
        <w:t xml:space="preserve">). These chemical structures were taken in the form of SMILES. The obtained SMILES were used to generate three-dimensional structure and saved in the form of SDF file with the help of open babel [37]. Ligands' charge was set to Gasteiger charge and rotatable bonds were specified for docking studies. Then, optimized structures were converted to the format required for docking studies that is PDBQT file format. </w:t>
      </w:r>
    </w:p>
    <w:p w14:paraId="222436A4" w14:textId="77777777" w:rsidR="006F3774" w:rsidRDefault="006F3774">
      <w:pPr>
        <w:tabs>
          <w:tab w:val="left" w:pos="450"/>
          <w:tab w:val="left" w:pos="1152"/>
        </w:tabs>
        <w:spacing w:after="0" w:line="240" w:lineRule="auto"/>
        <w:jc w:val="both"/>
        <w:rPr>
          <w:rFonts w:ascii="Times New Roman" w:eastAsia="Times New Roman" w:hAnsi="Times New Roman" w:cs="Times New Roman"/>
        </w:rPr>
      </w:pPr>
    </w:p>
    <w:p w14:paraId="5625139A" w14:textId="6CD8F80B" w:rsidR="006F3774" w:rsidRDefault="006F3774">
      <w:pPr>
        <w:tabs>
          <w:tab w:val="left" w:pos="450"/>
          <w:tab w:val="left" w:pos="1152"/>
        </w:tabs>
        <w:spacing w:after="0" w:line="240" w:lineRule="auto"/>
        <w:jc w:val="both"/>
        <w:rPr>
          <w:rFonts w:ascii="Times New Roman" w:eastAsia="Times New Roman" w:hAnsi="Times New Roman" w:cs="Times New Roman"/>
        </w:rPr>
      </w:pPr>
      <w:r>
        <w:object w:dxaOrig="10065" w:dyaOrig="9938" w14:anchorId="1481A6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5pt;height:445.55pt" o:ole="">
            <v:imagedata r:id="rId11" o:title=""/>
          </v:shape>
          <o:OLEObject Type="Embed" ProgID="ChemDraw.Document.6.0" ShapeID="_x0000_i1025" DrawAspect="Content" ObjectID="_1849897311" r:id="rId12"/>
        </w:object>
      </w:r>
    </w:p>
    <w:p w14:paraId="769C30B1" w14:textId="77777777" w:rsidR="002F0DA9" w:rsidRDefault="002F0DA9">
      <w:pPr>
        <w:tabs>
          <w:tab w:val="left" w:pos="450"/>
          <w:tab w:val="left" w:pos="1152"/>
        </w:tabs>
        <w:spacing w:after="0" w:line="240" w:lineRule="auto"/>
        <w:jc w:val="both"/>
        <w:rPr>
          <w:rFonts w:ascii="Times New Roman" w:eastAsia="Times New Roman" w:hAnsi="Times New Roman" w:cs="Times New Roman"/>
        </w:rPr>
      </w:pPr>
    </w:p>
    <w:p w14:paraId="044F9864" w14:textId="75EA991A" w:rsidR="002F0DA9" w:rsidRDefault="00000000">
      <w:pPr>
        <w:tabs>
          <w:tab w:val="left" w:pos="45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b/>
          <w:bCs/>
        </w:rPr>
        <w:t>Fig. 1</w:t>
      </w:r>
      <w:r>
        <w:rPr>
          <w:rFonts w:ascii="Times New Roman" w:eastAsia="Times New Roman" w:hAnsi="Times New Roman" w:cs="Times New Roman"/>
        </w:rPr>
        <w:t xml:space="preserve"> 2D structures of eleven filtered drug compounds and control drug (Maraviroc)</w:t>
      </w:r>
    </w:p>
    <w:p w14:paraId="7C95DC90" w14:textId="77777777" w:rsidR="002F0DA9" w:rsidRDefault="002F0DA9">
      <w:pPr>
        <w:tabs>
          <w:tab w:val="left" w:pos="450"/>
          <w:tab w:val="left" w:pos="720"/>
        </w:tabs>
        <w:spacing w:after="0" w:line="240" w:lineRule="auto"/>
        <w:jc w:val="both"/>
        <w:rPr>
          <w:rFonts w:ascii="Times New Roman" w:eastAsia="Times New Roman" w:hAnsi="Times New Roman" w:cs="Times New Roman"/>
        </w:rPr>
      </w:pPr>
    </w:p>
    <w:p w14:paraId="29B466D2" w14:textId="77777777" w:rsidR="006F3774" w:rsidRDefault="006F3774">
      <w:pPr>
        <w:tabs>
          <w:tab w:val="left" w:pos="450"/>
          <w:tab w:val="left" w:pos="720"/>
        </w:tabs>
        <w:spacing w:after="0" w:line="240" w:lineRule="auto"/>
        <w:jc w:val="both"/>
        <w:rPr>
          <w:rFonts w:ascii="Times New Roman" w:eastAsia="Times New Roman" w:hAnsi="Times New Roman" w:cs="Times New Roman"/>
        </w:rPr>
      </w:pPr>
    </w:p>
    <w:p w14:paraId="148EF794" w14:textId="77777777" w:rsidR="006F3774" w:rsidRDefault="006F3774">
      <w:pPr>
        <w:tabs>
          <w:tab w:val="left" w:pos="450"/>
          <w:tab w:val="left" w:pos="720"/>
        </w:tabs>
        <w:spacing w:after="0" w:line="240" w:lineRule="auto"/>
        <w:jc w:val="both"/>
        <w:rPr>
          <w:rFonts w:ascii="Times New Roman" w:eastAsia="Times New Roman" w:hAnsi="Times New Roman" w:cs="Times New Roman"/>
        </w:rPr>
      </w:pPr>
    </w:p>
    <w:p w14:paraId="1C3B6EE9" w14:textId="244FBF52" w:rsidR="002F0DA9" w:rsidRDefault="00000000">
      <w:pPr>
        <w:tabs>
          <w:tab w:val="left" w:pos="45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molecular docking simulation was carried out utilizing AutoDock Vina for prediction of binding modes and affinities of 11 lead compounds in the binding site of the CCR5 receptor. </w:t>
      </w:r>
      <w:r>
        <w:rPr>
          <w:rFonts w:ascii="Times New Roman" w:eastAsia="Times New Roman" w:hAnsi="Times New Roman" w:cs="Times New Roman"/>
        </w:rPr>
        <w:lastRenderedPageBreak/>
        <w:t>The pre-</w:t>
      </w:r>
      <w:proofErr w:type="spellStart"/>
      <w:r>
        <w:rPr>
          <w:rFonts w:ascii="Times New Roman" w:eastAsia="Times New Roman" w:hAnsi="Times New Roman" w:cs="Times New Roman"/>
        </w:rPr>
        <w:t>modeled</w:t>
      </w:r>
      <w:proofErr w:type="spellEnd"/>
      <w:r>
        <w:rPr>
          <w:rFonts w:ascii="Times New Roman" w:eastAsia="Times New Roman" w:hAnsi="Times New Roman" w:cs="Times New Roman"/>
        </w:rPr>
        <w:t xml:space="preserve"> receptor and grid box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coordinates at x=188.654, y=112.908, z=22.935 Å; dimensions: 90 × 70 × 70 Å) were applied for docking. Parameters used for docking include exhaustiveness = 32, number of binding modes = 9, and energy range = 3 kcal/mol. Binding affinity (ΔG, kcal/mol) was applied to rank the binding modes and ΔG ≤ -8.0 kcal/mol for further analysis [36]. For interaction studies, the 2D scheme diagrams were generated using BIOVIA Discovery Studio Visualizer software package. </w:t>
      </w:r>
    </w:p>
    <w:p w14:paraId="2F1A9805"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2A46B436" w14:textId="37D54EA8" w:rsidR="002F0DA9" w:rsidRDefault="005F1E18" w:rsidP="005F1E18">
      <w:p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2.3   Dynamic Simulation </w:t>
      </w:r>
    </w:p>
    <w:p w14:paraId="757C3E86" w14:textId="77777777" w:rsidR="002F0DA9" w:rsidRDefault="002F0DA9">
      <w:pPr>
        <w:pBdr>
          <w:top w:val="nil"/>
          <w:left w:val="nil"/>
          <w:bottom w:val="nil"/>
          <w:right w:val="nil"/>
          <w:between w:val="nil"/>
        </w:pBdr>
        <w:tabs>
          <w:tab w:val="left" w:pos="1152"/>
        </w:tabs>
        <w:spacing w:after="0" w:line="240" w:lineRule="auto"/>
        <w:ind w:left="540"/>
        <w:jc w:val="both"/>
        <w:rPr>
          <w:rFonts w:ascii="Times New Roman" w:eastAsia="Times New Roman" w:hAnsi="Times New Roman" w:cs="Times New Roman"/>
          <w:b/>
          <w:bCs/>
          <w:color w:val="000000"/>
        </w:rPr>
      </w:pPr>
    </w:p>
    <w:p w14:paraId="3A77A2C0" w14:textId="1B8BFD97" w:rsidR="002F0DA9" w:rsidRPr="005F1E18" w:rsidRDefault="00000000">
      <w:pPr>
        <w:tabs>
          <w:tab w:val="left" w:pos="1152"/>
        </w:tabs>
        <w:spacing w:after="0" w:line="240" w:lineRule="auto"/>
        <w:jc w:val="both"/>
        <w:rPr>
          <w:rFonts w:ascii="Times New Roman" w:eastAsia="Times New Roman" w:hAnsi="Times New Roman" w:cs="Times New Roman"/>
          <w:b/>
          <w:bCs/>
        </w:rPr>
      </w:pPr>
      <w:r w:rsidRPr="005F1E18">
        <w:rPr>
          <w:rFonts w:ascii="Times New Roman" w:eastAsia="Times New Roman" w:hAnsi="Times New Roman" w:cs="Times New Roman"/>
          <w:b/>
          <w:bCs/>
        </w:rPr>
        <w:t xml:space="preserve">2.3.1 RMSD, RMSF and </w:t>
      </w:r>
      <w:proofErr w:type="spellStart"/>
      <w:r w:rsidRPr="005F1E18">
        <w:rPr>
          <w:rFonts w:ascii="Times New Roman" w:eastAsia="Times New Roman" w:hAnsi="Times New Roman" w:cs="Times New Roman"/>
          <w:b/>
          <w:bCs/>
        </w:rPr>
        <w:t>Rg</w:t>
      </w:r>
      <w:proofErr w:type="spellEnd"/>
      <w:r w:rsidRPr="005F1E18">
        <w:rPr>
          <w:rFonts w:ascii="Times New Roman" w:eastAsia="Times New Roman" w:hAnsi="Times New Roman" w:cs="Times New Roman"/>
          <w:b/>
          <w:bCs/>
        </w:rPr>
        <w:t xml:space="preserve"> analysis</w:t>
      </w:r>
    </w:p>
    <w:p w14:paraId="1AAB7432"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3E9570D7" w14:textId="77777777" w:rsidR="002F0DA9" w:rsidRDefault="00000000" w:rsidP="00A32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Molecular dynamics (MD) simulations were performed using GROMACS 2023.2 to investigate the structural stability and dynamic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the CCR5–FDB020301 complex [38]. The protein–ligand complex was parameterized using the CHARMM36 all-atom force field, while ligand topology parameters were generated using the CHARMM General Force Field (</w:t>
      </w:r>
      <w:proofErr w:type="spellStart"/>
      <w:r>
        <w:rPr>
          <w:rFonts w:ascii="Times New Roman" w:eastAsia="Times New Roman" w:hAnsi="Times New Roman" w:cs="Times New Roman"/>
        </w:rPr>
        <w:t>CGenFF</w:t>
      </w:r>
      <w:proofErr w:type="spellEnd"/>
      <w:r>
        <w:rPr>
          <w:rFonts w:ascii="Times New Roman" w:eastAsia="Times New Roman" w:hAnsi="Times New Roman" w:cs="Times New Roman"/>
        </w:rPr>
        <w:t xml:space="preserve">). The complex was solvated in a suitable water box, and Na⁺ and Cl⁻ ions were added to neutralize the system. Energy minimization was performed using the steepest-descent algorithm to eliminate unfavourable contacts. The minimized system was equilibrated under NVT conditions for 100 </w:t>
      </w:r>
      <w:proofErr w:type="spellStart"/>
      <w:r>
        <w:rPr>
          <w:rFonts w:ascii="Times New Roman" w:eastAsia="Times New Roman" w:hAnsi="Times New Roman" w:cs="Times New Roman"/>
        </w:rPr>
        <w:t>ps</w:t>
      </w:r>
      <w:proofErr w:type="spellEnd"/>
      <w:r>
        <w:rPr>
          <w:rFonts w:ascii="Times New Roman" w:eastAsia="Times New Roman" w:hAnsi="Times New Roman" w:cs="Times New Roman"/>
        </w:rPr>
        <w:t xml:space="preserve"> at 300 K using the V-rescale thermostat, followed by NPT equilibration for 100 </w:t>
      </w:r>
      <w:proofErr w:type="spellStart"/>
      <w:r>
        <w:rPr>
          <w:rFonts w:ascii="Times New Roman" w:eastAsia="Times New Roman" w:hAnsi="Times New Roman" w:cs="Times New Roman"/>
        </w:rPr>
        <w:t>ps</w:t>
      </w:r>
      <w:proofErr w:type="spellEnd"/>
      <w:r>
        <w:rPr>
          <w:rFonts w:ascii="Times New Roman" w:eastAsia="Times New Roman" w:hAnsi="Times New Roman" w:cs="Times New Roman"/>
        </w:rPr>
        <w:t xml:space="preserve"> at 1 bar using the Parrinello–Rahman </w:t>
      </w:r>
      <w:proofErr w:type="spellStart"/>
      <w:r>
        <w:rPr>
          <w:rFonts w:ascii="Times New Roman" w:eastAsia="Times New Roman" w:hAnsi="Times New Roman" w:cs="Times New Roman"/>
        </w:rPr>
        <w:t>barostat</w:t>
      </w:r>
      <w:proofErr w:type="spellEnd"/>
      <w:r>
        <w:rPr>
          <w:rFonts w:ascii="Times New Roman" w:eastAsia="Times New Roman" w:hAnsi="Times New Roman" w:cs="Times New Roman"/>
        </w:rPr>
        <w:t>. The equilibrated system was subsequently subjected to the production molecular dynamics simulation.</w:t>
      </w:r>
    </w:p>
    <w:p w14:paraId="0616B74F" w14:textId="77777777" w:rsidR="002F0DA9" w:rsidRDefault="002F0DA9">
      <w:pPr>
        <w:spacing w:after="0" w:line="240" w:lineRule="auto"/>
        <w:jc w:val="both"/>
        <w:rPr>
          <w:rFonts w:ascii="Times New Roman" w:eastAsia="Times New Roman" w:hAnsi="Times New Roman" w:cs="Times New Roman"/>
        </w:rPr>
      </w:pPr>
    </w:p>
    <w:p w14:paraId="308304F4" w14:textId="77777777" w:rsidR="002F0DA9" w:rsidRDefault="00000000" w:rsidP="00C5229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stability and conformational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the CCR5–FDB020301 complex were evaluated by calculating the root mean square deviation (RMSD) of the protein backbone and ligand–protein complex, root mean square fluctuation (RMSF) of individual residues, and radius of gyration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of the protein throughout the simulation trajectory [39]. RMSD analysis was used to assess overall structural stability, RMSF analysis to characterize residue-level flexibility, and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analysis to monitor changes in the compactness of the protein structure. Trajectory processing, analysis, and visualization were performed using GROMACS analysis utilities and </w:t>
      </w:r>
      <w:proofErr w:type="spellStart"/>
      <w:r>
        <w:rPr>
          <w:rFonts w:ascii="Times New Roman" w:eastAsia="Times New Roman" w:hAnsi="Times New Roman" w:cs="Times New Roman"/>
        </w:rPr>
        <w:t>Xmgrace</w:t>
      </w:r>
      <w:proofErr w:type="spellEnd"/>
      <w:r>
        <w:rPr>
          <w:rFonts w:ascii="Times New Roman" w:eastAsia="Times New Roman" w:hAnsi="Times New Roman" w:cs="Times New Roman"/>
        </w:rPr>
        <w:t>.</w:t>
      </w:r>
    </w:p>
    <w:p w14:paraId="2D61C169" w14:textId="77777777" w:rsidR="002F0DA9" w:rsidRDefault="002F0DA9">
      <w:pPr>
        <w:spacing w:after="0" w:line="240" w:lineRule="auto"/>
        <w:jc w:val="both"/>
        <w:rPr>
          <w:rFonts w:ascii="Times New Roman" w:eastAsia="Times New Roman" w:hAnsi="Times New Roman" w:cs="Times New Roman"/>
        </w:rPr>
      </w:pPr>
    </w:p>
    <w:p w14:paraId="1A459889" w14:textId="0D374D5D" w:rsidR="002F0DA9" w:rsidRPr="005F1E18" w:rsidRDefault="00000000">
      <w:pPr>
        <w:spacing w:after="0" w:line="240" w:lineRule="auto"/>
        <w:jc w:val="both"/>
        <w:rPr>
          <w:rFonts w:ascii="Times New Roman" w:eastAsia="Times New Roman" w:hAnsi="Times New Roman" w:cs="Times New Roman"/>
          <w:b/>
          <w:bCs/>
        </w:rPr>
      </w:pPr>
      <w:r w:rsidRPr="005F1E18">
        <w:rPr>
          <w:rFonts w:ascii="Times New Roman" w:eastAsia="Times New Roman" w:hAnsi="Times New Roman" w:cs="Times New Roman"/>
          <w:b/>
          <w:bCs/>
        </w:rPr>
        <w:t>2.3.2 Hydrogen-bond analysis</w:t>
      </w:r>
    </w:p>
    <w:p w14:paraId="7AF98CDE" w14:textId="77777777" w:rsidR="002F0DA9" w:rsidRDefault="002F0DA9">
      <w:pPr>
        <w:spacing w:after="0" w:line="240" w:lineRule="auto"/>
        <w:jc w:val="both"/>
        <w:rPr>
          <w:rFonts w:ascii="Times New Roman" w:eastAsia="Times New Roman" w:hAnsi="Times New Roman" w:cs="Times New Roman"/>
        </w:rPr>
      </w:pPr>
    </w:p>
    <w:p w14:paraId="529E1D54" w14:textId="77777777" w:rsidR="002F0DA9" w:rsidRDefault="00000000" w:rsidP="00A32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Hydrogen-bond analysis was performed to characterize the stability of polar interactions between CCR5 and FDB020301 throughout the 10 ns molecular dynamics simulation. MD trajectory using the GROMACS </w:t>
      </w:r>
      <w:proofErr w:type="spellStart"/>
      <w:r>
        <w:rPr>
          <w:rFonts w:ascii="Times New Roman" w:eastAsia="Times New Roman" w:hAnsi="Times New Roman" w:cs="Times New Roman"/>
        </w:rPr>
        <w:t>gmx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hbond</w:t>
      </w:r>
      <w:proofErr w:type="spellEnd"/>
      <w:r>
        <w:rPr>
          <w:rFonts w:ascii="Times New Roman" w:eastAsia="Times New Roman" w:hAnsi="Times New Roman" w:cs="Times New Roman"/>
        </w:rPr>
        <w:t xml:space="preserve"> utility. They were identified according to geometric criteria based on the donor–acceptor distance and hydrogen–donor–acceptor angle. A donor–acceptor distance cutoff of 0.35 nm and an angular cutoff of 30° were used to define hydrogen-bond formation, consistent with the criteria implemented in GROMACS. The number of </w:t>
      </w:r>
      <w:proofErr w:type="gramStart"/>
      <w:r>
        <w:rPr>
          <w:rFonts w:ascii="Times New Roman" w:eastAsia="Times New Roman" w:hAnsi="Times New Roman" w:cs="Times New Roman"/>
        </w:rPr>
        <w:t>protein</w:t>
      </w:r>
      <w:proofErr w:type="gramEnd"/>
      <w:r>
        <w:rPr>
          <w:rFonts w:ascii="Times New Roman" w:eastAsia="Times New Roman" w:hAnsi="Times New Roman" w:cs="Times New Roman"/>
        </w:rPr>
        <w:t xml:space="preserve">–ligand hydrogen bonds were monitored as a function of simulation time, and the mean number and range of hydrogen bonds were determined over the complete 10 ns trajectory [40]. </w:t>
      </w:r>
    </w:p>
    <w:p w14:paraId="16D802F3" w14:textId="77777777" w:rsidR="002F0DA9" w:rsidRDefault="002F0DA9">
      <w:pPr>
        <w:spacing w:after="0" w:line="240" w:lineRule="auto"/>
        <w:jc w:val="both"/>
        <w:rPr>
          <w:rFonts w:ascii="Times New Roman" w:eastAsia="Times New Roman" w:hAnsi="Times New Roman" w:cs="Times New Roman"/>
        </w:rPr>
      </w:pPr>
    </w:p>
    <w:p w14:paraId="77F5D92C" w14:textId="1D9FA375" w:rsidR="002F0DA9" w:rsidRPr="005F1E18" w:rsidRDefault="00000000">
      <w:pPr>
        <w:spacing w:after="0" w:line="240" w:lineRule="auto"/>
        <w:jc w:val="both"/>
        <w:rPr>
          <w:rFonts w:ascii="Times New Roman" w:eastAsia="Times New Roman" w:hAnsi="Times New Roman" w:cs="Times New Roman"/>
          <w:b/>
          <w:bCs/>
        </w:rPr>
      </w:pPr>
      <w:r w:rsidRPr="005F1E18">
        <w:rPr>
          <w:rFonts w:ascii="Times New Roman" w:eastAsia="Times New Roman" w:hAnsi="Times New Roman" w:cs="Times New Roman"/>
          <w:b/>
          <w:bCs/>
        </w:rPr>
        <w:t>2.3.3 SASA Analysis</w:t>
      </w:r>
    </w:p>
    <w:p w14:paraId="2D997654" w14:textId="77777777" w:rsidR="002F0DA9" w:rsidRDefault="002F0DA9">
      <w:pPr>
        <w:spacing w:after="0" w:line="240" w:lineRule="auto"/>
        <w:jc w:val="both"/>
        <w:rPr>
          <w:rFonts w:ascii="Times New Roman" w:eastAsia="Times New Roman" w:hAnsi="Times New Roman" w:cs="Times New Roman"/>
        </w:rPr>
      </w:pPr>
    </w:p>
    <w:p w14:paraId="735D4C67" w14:textId="77777777" w:rsidR="002F0DA9" w:rsidRDefault="00000000" w:rsidP="00A32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Solvent-accessible surface area (SASA) analysis was performed to evaluate changes in solvent exposure and structural compactness of CCR5 upon binding of FDB020301 during the 10 ns molecular dynamics simulation. using GROMACS. The calculation was performed separately for the apo CCR5 protein, FDB020301 ligand, and the CCR5–FDB020301 complex using a solvent probe radius of 0.14 nm [41]. The buried solvent-accessible surface area at the protein </w:t>
      </w:r>
      <w:r>
        <w:rPr>
          <w:rFonts w:ascii="Times New Roman" w:eastAsia="Times New Roman" w:hAnsi="Times New Roman" w:cs="Times New Roman"/>
        </w:rPr>
        <w:lastRenderedPageBreak/>
        <w:t>ligand interface was estimated from the difference between the individual and complex SASA values according to:</w:t>
      </w:r>
    </w:p>
    <w:p w14:paraId="5D490E17" w14:textId="77777777" w:rsidR="002F0DA9" w:rsidRDefault="002F0DA9">
      <w:pPr>
        <w:spacing w:after="0" w:line="240" w:lineRule="auto"/>
        <w:rPr>
          <w:rFonts w:ascii="Times New Roman" w:eastAsia="Times New Roman" w:hAnsi="Times New Roman" w:cs="Times New Roman"/>
          <w:i/>
          <w:iCs/>
        </w:rPr>
      </w:pPr>
    </w:p>
    <w:p w14:paraId="56AE802A"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i/>
          <w:iCs/>
        </w:rPr>
        <w:t>SASA</w:t>
      </w:r>
      <w:r>
        <w:rPr>
          <w:rFonts w:ascii="Times New Roman" w:eastAsia="Times New Roman" w:hAnsi="Times New Roman" w:cs="Times New Roman"/>
        </w:rPr>
        <w:t xml:space="preserve"> </w:t>
      </w:r>
      <w:r>
        <w:rPr>
          <w:rFonts w:ascii="Times New Roman" w:eastAsia="Times New Roman" w:hAnsi="Times New Roman" w:cs="Times New Roman"/>
          <w:vertAlign w:val="subscript"/>
        </w:rPr>
        <w:t>buried</w:t>
      </w:r>
      <w:r>
        <w:rPr>
          <w:rFonts w:ascii="Times New Roman" w:eastAsia="Times New Roman" w:hAnsi="Times New Roman" w:cs="Times New Roman"/>
          <w:i/>
          <w:iCs/>
        </w:rPr>
        <w:t>= SASA</w:t>
      </w:r>
      <w:r>
        <w:rPr>
          <w:rFonts w:ascii="Times New Roman" w:eastAsia="Times New Roman" w:hAnsi="Times New Roman" w:cs="Times New Roman"/>
        </w:rPr>
        <w:t xml:space="preserve"> </w:t>
      </w:r>
      <w:r>
        <w:rPr>
          <w:rFonts w:ascii="Times New Roman" w:eastAsia="Times New Roman" w:hAnsi="Times New Roman" w:cs="Times New Roman"/>
          <w:vertAlign w:val="subscript"/>
        </w:rPr>
        <w:t>protein</w:t>
      </w:r>
      <w:r>
        <w:rPr>
          <w:rFonts w:ascii="Times New Roman" w:eastAsia="Times New Roman" w:hAnsi="Times New Roman" w:cs="Times New Roman"/>
          <w:i/>
          <w:iCs/>
        </w:rPr>
        <w:t>+SASA</w:t>
      </w:r>
      <w:r>
        <w:rPr>
          <w:rFonts w:ascii="Times New Roman" w:eastAsia="Times New Roman" w:hAnsi="Times New Roman" w:cs="Times New Roman"/>
          <w:vertAlign w:val="subscript"/>
        </w:rPr>
        <w:t>ligand</w:t>
      </w:r>
      <w:r>
        <w:rPr>
          <w:rFonts w:ascii="Times New Roman" w:eastAsia="Times New Roman" w:hAnsi="Times New Roman" w:cs="Times New Roman"/>
        </w:rPr>
        <w:t>-</w:t>
      </w:r>
      <w:r>
        <w:rPr>
          <w:rFonts w:ascii="Times New Roman" w:eastAsia="Times New Roman" w:hAnsi="Times New Roman" w:cs="Times New Roman"/>
          <w:i/>
          <w:iCs/>
        </w:rPr>
        <w:t>SASA</w:t>
      </w:r>
      <w:r>
        <w:rPr>
          <w:rFonts w:ascii="Times New Roman" w:eastAsia="Times New Roman" w:hAnsi="Times New Roman" w:cs="Times New Roman"/>
          <w:vertAlign w:val="subscript"/>
        </w:rPr>
        <w:t>complex</w:t>
      </w:r>
    </w:p>
    <w:p w14:paraId="7F77B61A" w14:textId="77777777" w:rsidR="002F0DA9" w:rsidRDefault="002F0DA9">
      <w:pPr>
        <w:spacing w:after="0" w:line="240" w:lineRule="auto"/>
        <w:jc w:val="both"/>
        <w:rPr>
          <w:rFonts w:ascii="Times New Roman" w:eastAsia="Times New Roman" w:hAnsi="Times New Roman" w:cs="Times New Roman"/>
        </w:rPr>
      </w:pPr>
    </w:p>
    <w:p w14:paraId="2E920466" w14:textId="77777777" w:rsidR="002F0DA9"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Lower and relatively stable SASA values were interpreted as indicative of reduced solvent exposure and maintenance of structural compactness.</w:t>
      </w:r>
    </w:p>
    <w:p w14:paraId="32BF87C2" w14:textId="77777777" w:rsidR="002F0DA9" w:rsidRDefault="002F0DA9">
      <w:pPr>
        <w:spacing w:after="0" w:line="240" w:lineRule="auto"/>
        <w:jc w:val="both"/>
        <w:rPr>
          <w:rFonts w:ascii="Times New Roman" w:eastAsia="Times New Roman" w:hAnsi="Times New Roman" w:cs="Times New Roman"/>
          <w:b/>
          <w:bCs/>
        </w:rPr>
      </w:pPr>
    </w:p>
    <w:p w14:paraId="78C7FAFC" w14:textId="391E5265" w:rsidR="002F0DA9" w:rsidRPr="005F1E18" w:rsidRDefault="00A3200E">
      <w:pPr>
        <w:spacing w:after="0" w:line="240" w:lineRule="auto"/>
        <w:jc w:val="both"/>
        <w:rPr>
          <w:rFonts w:ascii="Times New Roman" w:eastAsia="Times New Roman" w:hAnsi="Times New Roman" w:cs="Times New Roman"/>
          <w:b/>
          <w:bCs/>
        </w:rPr>
      </w:pPr>
      <w:r w:rsidRPr="005F1E18">
        <w:rPr>
          <w:rFonts w:ascii="Times New Roman" w:eastAsia="Times New Roman" w:hAnsi="Times New Roman" w:cs="Times New Roman"/>
          <w:b/>
          <w:bCs/>
        </w:rPr>
        <w:t>2.3.4</w:t>
      </w:r>
      <w:r>
        <w:rPr>
          <w:rFonts w:ascii="Times New Roman" w:eastAsia="Times New Roman" w:hAnsi="Times New Roman" w:cs="Times New Roman"/>
          <w:b/>
          <w:bCs/>
        </w:rPr>
        <w:t xml:space="preserve"> </w:t>
      </w:r>
      <w:r w:rsidRPr="005F1E18">
        <w:rPr>
          <w:rFonts w:ascii="Times New Roman" w:eastAsia="Times New Roman" w:hAnsi="Times New Roman" w:cs="Times New Roman"/>
          <w:b/>
          <w:bCs/>
        </w:rPr>
        <w:t xml:space="preserve">PCA analysis </w:t>
      </w:r>
    </w:p>
    <w:p w14:paraId="2AF489C3" w14:textId="77777777" w:rsidR="002F0DA9" w:rsidRDefault="002F0DA9">
      <w:pPr>
        <w:spacing w:after="0" w:line="240" w:lineRule="auto"/>
        <w:jc w:val="both"/>
        <w:rPr>
          <w:rFonts w:ascii="Times New Roman" w:eastAsia="Times New Roman" w:hAnsi="Times New Roman" w:cs="Times New Roman"/>
        </w:rPr>
      </w:pPr>
    </w:p>
    <w:p w14:paraId="0255CD31" w14:textId="4836B460" w:rsidR="002F0DA9" w:rsidRDefault="001E0A82" w:rsidP="005F1E1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Principal component analysis </w:t>
      </w:r>
      <w:r w:rsidR="007F606D">
        <w:rPr>
          <w:rFonts w:ascii="Times New Roman" w:eastAsia="Times New Roman" w:hAnsi="Times New Roman" w:cs="Times New Roman"/>
        </w:rPr>
        <w:t>(</w:t>
      </w:r>
      <w:r>
        <w:rPr>
          <w:rFonts w:ascii="Times New Roman" w:eastAsia="Times New Roman" w:hAnsi="Times New Roman" w:cs="Times New Roman"/>
        </w:rPr>
        <w:t>PCA</w:t>
      </w:r>
      <w:r w:rsidR="007F606D">
        <w:rPr>
          <w:rFonts w:ascii="Times New Roman" w:eastAsia="Times New Roman" w:hAnsi="Times New Roman" w:cs="Times New Roman"/>
        </w:rPr>
        <w:t>)</w:t>
      </w:r>
      <w:r>
        <w:rPr>
          <w:rFonts w:ascii="Times New Roman" w:eastAsia="Times New Roman" w:hAnsi="Times New Roman" w:cs="Times New Roman"/>
        </w:rPr>
        <w:t xml:space="preserve"> was performed using the GROMACS utilities to characterize the dominant collective motions and conformational fluctuations of the CCR5–FDB020301 complex during the 10 ns MD simulation. The covariance matrix was diagonalized to obtain eigenvalues and eigenvectors, and the contribution of individual principal components to the total variance was determined. The trajectory was projected onto PC1 and PC2 to evaluate the conformational space sampled by the complex. A two-dimensional free-energy landscape (FEL) was subsequently constructed from the PC1–PC2 distribution using the Boltzmann relationship, allowing identification of the preferred low-energy conformational states and assessment of conformational stability [42].</w:t>
      </w:r>
    </w:p>
    <w:p w14:paraId="30AD91FD" w14:textId="77777777" w:rsidR="002F0DA9" w:rsidRDefault="002F0DA9">
      <w:pPr>
        <w:spacing w:after="0" w:line="240" w:lineRule="auto"/>
        <w:jc w:val="both"/>
        <w:rPr>
          <w:rFonts w:ascii="Times New Roman" w:eastAsia="Times New Roman" w:hAnsi="Times New Roman" w:cs="Times New Roman"/>
        </w:rPr>
      </w:pPr>
    </w:p>
    <w:p w14:paraId="0DC671CE" w14:textId="75B299D1" w:rsidR="002F0DA9" w:rsidRPr="005F1E18" w:rsidRDefault="00000000">
      <w:pPr>
        <w:spacing w:after="0" w:line="240" w:lineRule="auto"/>
        <w:jc w:val="both"/>
        <w:rPr>
          <w:rFonts w:ascii="Times New Roman" w:eastAsia="Times New Roman" w:hAnsi="Times New Roman" w:cs="Times New Roman"/>
          <w:b/>
          <w:bCs/>
        </w:rPr>
      </w:pPr>
      <w:r w:rsidRPr="005F1E18">
        <w:rPr>
          <w:rFonts w:ascii="Times New Roman" w:eastAsia="Times New Roman" w:hAnsi="Times New Roman" w:cs="Times New Roman"/>
          <w:b/>
          <w:bCs/>
        </w:rPr>
        <w:t xml:space="preserve">2.3.5 MM-GBSA calculation </w:t>
      </w:r>
    </w:p>
    <w:p w14:paraId="11089C9E" w14:textId="77777777" w:rsidR="002F0DA9" w:rsidRDefault="002F0DA9">
      <w:pPr>
        <w:spacing w:after="0" w:line="240" w:lineRule="auto"/>
        <w:jc w:val="both"/>
        <w:rPr>
          <w:rFonts w:ascii="Times New Roman" w:eastAsia="Times New Roman" w:hAnsi="Times New Roman" w:cs="Times New Roman"/>
          <w:i/>
          <w:iCs/>
        </w:rPr>
      </w:pPr>
    </w:p>
    <w:p w14:paraId="126D1665" w14:textId="6AD38E7C" w:rsidR="002F0DA9" w:rsidRDefault="00000000" w:rsidP="005F1E18">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Binding free energy calculations were performed using the </w:t>
      </w:r>
      <w:r w:rsidR="00287446" w:rsidRPr="00287446">
        <w:rPr>
          <w:rFonts w:ascii="Times New Roman" w:eastAsia="Times New Roman" w:hAnsi="Times New Roman" w:cs="Times New Roman"/>
        </w:rPr>
        <w:t xml:space="preserve">Molecular Mechanics–Generalized Born Surface Area </w:t>
      </w:r>
      <w:r w:rsidR="00287446">
        <w:rPr>
          <w:rFonts w:ascii="Times New Roman" w:eastAsia="Times New Roman" w:hAnsi="Times New Roman" w:cs="Times New Roman"/>
        </w:rPr>
        <w:t>(</w:t>
      </w:r>
      <w:r>
        <w:rPr>
          <w:rFonts w:ascii="Times New Roman" w:eastAsia="Times New Roman" w:hAnsi="Times New Roman" w:cs="Times New Roman"/>
        </w:rPr>
        <w:t>MM-GBSA</w:t>
      </w:r>
      <w:r w:rsidR="00287446">
        <w:rPr>
          <w:rFonts w:ascii="Times New Roman" w:eastAsia="Times New Roman" w:hAnsi="Times New Roman" w:cs="Times New Roman"/>
        </w:rPr>
        <w:t>)</w:t>
      </w:r>
      <w:r>
        <w:rPr>
          <w:rFonts w:ascii="Times New Roman" w:eastAsia="Times New Roman" w:hAnsi="Times New Roman" w:cs="Times New Roman"/>
        </w:rPr>
        <w:t xml:space="preserve"> methods implemented in the module of </w:t>
      </w:r>
      <w:r>
        <w:rPr>
          <w:rFonts w:ascii="Times New Roman" w:eastAsia="Times New Roman" w:hAnsi="Times New Roman" w:cs="Times New Roman"/>
          <w:color w:val="000000"/>
        </w:rPr>
        <w:t>AMBER</w:t>
      </w:r>
      <w:r>
        <w:rPr>
          <w:rFonts w:ascii="Times New Roman" w:eastAsia="Times New Roman" w:hAnsi="Times New Roman" w:cs="Times New Roman"/>
          <w:color w:val="EE0000"/>
        </w:rPr>
        <w:t xml:space="preserve">. </w:t>
      </w:r>
      <w:r>
        <w:rPr>
          <w:rFonts w:ascii="Times New Roman" w:eastAsia="Times New Roman" w:hAnsi="Times New Roman" w:cs="Times New Roman"/>
        </w:rPr>
        <w:t xml:space="preserve">Solvent molecules and counterions were removed prior to energy calculations [40]. For each trajectory, 500 representative frames were extracted from 20,000 total trajectory frames at a sampling interval of 40 frames from equilibrated simulation regions. MM-GBSA calculations were performed using the generalized Born implicit solvent model with </w:t>
      </w:r>
      <w:proofErr w:type="spellStart"/>
      <w:r>
        <w:rPr>
          <w:rFonts w:ascii="Times New Roman" w:eastAsia="Times New Roman" w:hAnsi="Times New Roman" w:cs="Times New Roman"/>
        </w:rPr>
        <w:t>igb</w:t>
      </w:r>
      <w:proofErr w:type="spellEnd"/>
      <w:r>
        <w:rPr>
          <w:rFonts w:ascii="Times New Roman" w:eastAsia="Times New Roman" w:hAnsi="Times New Roman" w:cs="Times New Roman"/>
        </w:rPr>
        <w:t xml:space="preserve"> = 2 under a salt concentration of 0.15 M. </w:t>
      </w:r>
      <w:r w:rsidR="00ED6D0F" w:rsidRPr="00ED6D0F">
        <w:rPr>
          <w:rFonts w:ascii="Times New Roman" w:eastAsia="Times New Roman" w:hAnsi="Times New Roman" w:cs="Times New Roman"/>
        </w:rPr>
        <w:t xml:space="preserve">All binding energies are reported in kcal/mol as mean ± standard deviation </w:t>
      </w:r>
      <w:r>
        <w:rPr>
          <w:rFonts w:ascii="Times New Roman" w:eastAsia="Times New Roman" w:hAnsi="Times New Roman" w:cs="Times New Roman"/>
        </w:rPr>
        <w:t>[43].</w:t>
      </w:r>
    </w:p>
    <w:p w14:paraId="7E00CE9E"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00390DE" w14:textId="77777777" w:rsidR="002F0DA9" w:rsidRDefault="00000000" w:rsidP="00A3200E">
      <w:pPr>
        <w:numPr>
          <w:ilvl w:val="0"/>
          <w:numId w:val="12"/>
        </w:numPr>
        <w:pBdr>
          <w:top w:val="nil"/>
          <w:left w:val="nil"/>
          <w:bottom w:val="nil"/>
          <w:right w:val="nil"/>
          <w:between w:val="nil"/>
        </w:pBdr>
        <w:spacing w:after="0" w:line="240" w:lineRule="auto"/>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Results</w:t>
      </w:r>
    </w:p>
    <w:p w14:paraId="23D945BB" w14:textId="77777777" w:rsidR="002F0DA9" w:rsidRDefault="002F0DA9">
      <w:pPr>
        <w:pBdr>
          <w:top w:val="nil"/>
          <w:left w:val="nil"/>
          <w:bottom w:val="nil"/>
          <w:right w:val="nil"/>
          <w:between w:val="nil"/>
        </w:pBdr>
        <w:spacing w:after="0" w:line="240" w:lineRule="auto"/>
        <w:ind w:left="540"/>
        <w:jc w:val="both"/>
        <w:rPr>
          <w:rFonts w:ascii="Times New Roman" w:eastAsia="Times New Roman" w:hAnsi="Times New Roman" w:cs="Times New Roman"/>
          <w:b/>
          <w:bCs/>
          <w:i/>
          <w:iCs/>
          <w:color w:val="000000"/>
        </w:rPr>
      </w:pPr>
    </w:p>
    <w:p w14:paraId="6154C96F" w14:textId="73906811" w:rsidR="002F0DA9" w:rsidRPr="00A3200E" w:rsidRDefault="00000000">
      <w:pPr>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3.1 Machine Learning-Based Prediction of CCR5 Inhibitors</w:t>
      </w:r>
    </w:p>
    <w:p w14:paraId="0CC09F53" w14:textId="77777777" w:rsidR="002F0DA9" w:rsidRDefault="002F0DA9">
      <w:pPr>
        <w:spacing w:after="0" w:line="240" w:lineRule="auto"/>
        <w:jc w:val="both"/>
        <w:rPr>
          <w:rFonts w:ascii="Times New Roman" w:eastAsia="Times New Roman" w:hAnsi="Times New Roman" w:cs="Times New Roman"/>
        </w:rPr>
      </w:pPr>
    </w:p>
    <w:p w14:paraId="54ACF5D6" w14:textId="05F5476B" w:rsidR="002F0DA9" w:rsidRPr="00A3200E" w:rsidRDefault="00000000">
      <w:pPr>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3.1.1 Model Performance Evaluation</w:t>
      </w:r>
    </w:p>
    <w:p w14:paraId="0A6005E9" w14:textId="77777777" w:rsidR="002F0DA9" w:rsidRDefault="002F0DA9">
      <w:pPr>
        <w:spacing w:after="0" w:line="240" w:lineRule="auto"/>
        <w:jc w:val="both"/>
        <w:rPr>
          <w:rFonts w:ascii="Times New Roman" w:eastAsia="Times New Roman" w:hAnsi="Times New Roman" w:cs="Times New Roman"/>
        </w:rPr>
      </w:pPr>
    </w:p>
    <w:p w14:paraId="20CF7617" w14:textId="77777777" w:rsidR="002F0DA9" w:rsidRDefault="00000000" w:rsidP="00931AC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performance of the machine learning algorithm was measured using several evaluation metrics, including accuracy, precision, recall, and F1-score. Additionally, the classification performance was analyzed using confusion matrices and the ROC </w:t>
      </w:r>
      <w:proofErr w:type="gramStart"/>
      <w:r>
        <w:rPr>
          <w:rFonts w:ascii="Times New Roman" w:eastAsia="Times New Roman" w:hAnsi="Times New Roman" w:cs="Times New Roman"/>
        </w:rPr>
        <w:t>curve .</w:t>
      </w:r>
      <w:proofErr w:type="gramEnd"/>
      <w:r>
        <w:rPr>
          <w:rFonts w:ascii="Times New Roman" w:eastAsia="Times New Roman" w:hAnsi="Times New Roman" w:cs="Times New Roman"/>
        </w:rPr>
        <w:t xml:space="preserve"> The machine learning model developed using the XGBoost algorithm was evaluated on an independent test dataset comprising 13,097 chemical compounds, including 6,552 inactive compounds (Class 0) and 6,545 active compounds (Class 1). The model achieved an overall accuracy of 92%, indicating its strong predictive performance. The classification report further demonstrated good predictive capability. For Class 0 (inactive compounds), the model achieved a precision of 0.88, recall of 0.97, and F1-score of 0.93, indicating that most inactive compounds were correctly identified. Similarly, for Class 1 (active compounds), the model achieved a precision of 0.97, recall of 0.87, and F1-score of 0.92, demonstrating the model's effectiveness in predicting potential CCR5 inhibitor compounds (</w:t>
      </w:r>
      <w:r>
        <w:rPr>
          <w:rFonts w:ascii="Times New Roman" w:eastAsia="Times New Roman" w:hAnsi="Times New Roman" w:cs="Times New Roman"/>
          <w:b/>
          <w:bCs/>
        </w:rPr>
        <w:t>Table 1</w:t>
      </w:r>
      <w:r>
        <w:rPr>
          <w:rFonts w:ascii="Times New Roman" w:eastAsia="Times New Roman" w:hAnsi="Times New Roman" w:cs="Times New Roman"/>
        </w:rPr>
        <w:t>).</w:t>
      </w:r>
    </w:p>
    <w:p w14:paraId="51F21DE8" w14:textId="77777777" w:rsidR="002F0DA9" w:rsidRDefault="002F0DA9">
      <w:pPr>
        <w:spacing w:after="0" w:line="240" w:lineRule="auto"/>
        <w:jc w:val="both"/>
        <w:rPr>
          <w:rFonts w:ascii="Times New Roman" w:eastAsia="Times New Roman" w:hAnsi="Times New Roman" w:cs="Times New Roman"/>
        </w:rPr>
      </w:pPr>
    </w:p>
    <w:p w14:paraId="4638E701" w14:textId="2DC1956F" w:rsidR="002F0DA9" w:rsidRDefault="00000000">
      <w:pPr>
        <w:tabs>
          <w:tab w:val="left" w:pos="1152"/>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Table 1 </w:t>
      </w:r>
      <w:r>
        <w:rPr>
          <w:rFonts w:ascii="Times New Roman" w:eastAsia="Times New Roman" w:hAnsi="Times New Roman" w:cs="Times New Roman"/>
        </w:rPr>
        <w:t>Model performance evaluation</w:t>
      </w:r>
    </w:p>
    <w:p w14:paraId="1002E0A4" w14:textId="77777777" w:rsidR="002F0DA9" w:rsidRDefault="002F0DA9">
      <w:pPr>
        <w:spacing w:after="0" w:line="240" w:lineRule="auto"/>
        <w:jc w:val="both"/>
        <w:rPr>
          <w:rFonts w:ascii="Times New Roman" w:eastAsia="Times New Roman" w:hAnsi="Times New Roman" w:cs="Times New Roman"/>
          <w:b/>
          <w:bCs/>
        </w:rPr>
      </w:pPr>
    </w:p>
    <w:tbl>
      <w:tblPr>
        <w:tblStyle w:val="a"/>
        <w:tblW w:w="9016"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803"/>
        <w:gridCol w:w="1803"/>
        <w:gridCol w:w="1803"/>
        <w:gridCol w:w="1803"/>
        <w:gridCol w:w="1804"/>
      </w:tblGrid>
      <w:tr w:rsidR="002F0DA9" w14:paraId="72CC6A8B" w14:textId="77777777">
        <w:trPr>
          <w:jc w:val="center"/>
        </w:trPr>
        <w:tc>
          <w:tcPr>
            <w:tcW w:w="1803" w:type="dxa"/>
            <w:tcBorders>
              <w:top w:val="single" w:sz="4" w:space="0" w:color="000000"/>
              <w:bottom w:val="single" w:sz="4" w:space="0" w:color="000000"/>
            </w:tcBorders>
            <w:vAlign w:val="center"/>
          </w:tcPr>
          <w:p w14:paraId="5970ADCC"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1803" w:type="dxa"/>
            <w:tcBorders>
              <w:top w:val="single" w:sz="4" w:space="0" w:color="000000"/>
              <w:bottom w:val="single" w:sz="4" w:space="0" w:color="000000"/>
            </w:tcBorders>
            <w:vAlign w:val="center"/>
          </w:tcPr>
          <w:p w14:paraId="52C84A1E"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Active (1)</w:t>
            </w:r>
          </w:p>
        </w:tc>
        <w:tc>
          <w:tcPr>
            <w:tcW w:w="1803" w:type="dxa"/>
            <w:tcBorders>
              <w:top w:val="single" w:sz="4" w:space="0" w:color="000000"/>
              <w:bottom w:val="single" w:sz="4" w:space="0" w:color="000000"/>
            </w:tcBorders>
            <w:vAlign w:val="center"/>
          </w:tcPr>
          <w:p w14:paraId="68D04706"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Inactive (0)</w:t>
            </w:r>
          </w:p>
        </w:tc>
        <w:tc>
          <w:tcPr>
            <w:tcW w:w="1803" w:type="dxa"/>
            <w:tcBorders>
              <w:top w:val="single" w:sz="4" w:space="0" w:color="000000"/>
              <w:bottom w:val="single" w:sz="4" w:space="0" w:color="000000"/>
            </w:tcBorders>
            <w:vAlign w:val="center"/>
          </w:tcPr>
          <w:p w14:paraId="1941A120"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Macro </w:t>
            </w:r>
            <w:proofErr w:type="spellStart"/>
            <w:r>
              <w:rPr>
                <w:rFonts w:ascii="Times New Roman" w:eastAsia="Times New Roman" w:hAnsi="Times New Roman" w:cs="Times New Roman"/>
                <w:b/>
                <w:bCs/>
              </w:rPr>
              <w:t>Avg</w:t>
            </w:r>
            <w:proofErr w:type="spellEnd"/>
          </w:p>
        </w:tc>
        <w:tc>
          <w:tcPr>
            <w:tcW w:w="1804" w:type="dxa"/>
            <w:tcBorders>
              <w:top w:val="single" w:sz="4" w:space="0" w:color="000000"/>
              <w:bottom w:val="single" w:sz="4" w:space="0" w:color="000000"/>
            </w:tcBorders>
            <w:vAlign w:val="center"/>
          </w:tcPr>
          <w:p w14:paraId="05CF0A57"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Weighted </w:t>
            </w:r>
            <w:proofErr w:type="spellStart"/>
            <w:r>
              <w:rPr>
                <w:rFonts w:ascii="Times New Roman" w:eastAsia="Times New Roman" w:hAnsi="Times New Roman" w:cs="Times New Roman"/>
                <w:b/>
                <w:bCs/>
              </w:rPr>
              <w:t>Avg</w:t>
            </w:r>
            <w:proofErr w:type="spellEnd"/>
          </w:p>
        </w:tc>
      </w:tr>
      <w:tr w:rsidR="002F0DA9" w14:paraId="26FA104D" w14:textId="77777777">
        <w:trPr>
          <w:jc w:val="center"/>
        </w:trPr>
        <w:tc>
          <w:tcPr>
            <w:tcW w:w="1803" w:type="dxa"/>
            <w:tcBorders>
              <w:top w:val="single" w:sz="4" w:space="0" w:color="000000"/>
            </w:tcBorders>
            <w:vAlign w:val="center"/>
          </w:tcPr>
          <w:p w14:paraId="27204684"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Precision</w:t>
            </w:r>
          </w:p>
        </w:tc>
        <w:tc>
          <w:tcPr>
            <w:tcW w:w="1803" w:type="dxa"/>
            <w:tcBorders>
              <w:top w:val="single" w:sz="4" w:space="0" w:color="000000"/>
            </w:tcBorders>
            <w:vAlign w:val="center"/>
          </w:tcPr>
          <w:p w14:paraId="1C3DFEB6"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0.97</w:t>
            </w:r>
          </w:p>
        </w:tc>
        <w:tc>
          <w:tcPr>
            <w:tcW w:w="1803" w:type="dxa"/>
            <w:tcBorders>
              <w:top w:val="single" w:sz="4" w:space="0" w:color="000000"/>
            </w:tcBorders>
            <w:vAlign w:val="center"/>
          </w:tcPr>
          <w:p w14:paraId="11614DE8"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0.88</w:t>
            </w:r>
          </w:p>
        </w:tc>
        <w:tc>
          <w:tcPr>
            <w:tcW w:w="1803" w:type="dxa"/>
            <w:tcBorders>
              <w:top w:val="single" w:sz="4" w:space="0" w:color="000000"/>
            </w:tcBorders>
            <w:vAlign w:val="center"/>
          </w:tcPr>
          <w:p w14:paraId="5CF68330"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0.93</w:t>
            </w:r>
          </w:p>
        </w:tc>
        <w:tc>
          <w:tcPr>
            <w:tcW w:w="1804" w:type="dxa"/>
            <w:tcBorders>
              <w:top w:val="single" w:sz="4" w:space="0" w:color="000000"/>
            </w:tcBorders>
            <w:vAlign w:val="center"/>
          </w:tcPr>
          <w:p w14:paraId="7813B455"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0.93</w:t>
            </w:r>
          </w:p>
        </w:tc>
      </w:tr>
      <w:tr w:rsidR="002F0DA9" w14:paraId="374873AE" w14:textId="77777777">
        <w:trPr>
          <w:jc w:val="center"/>
        </w:trPr>
        <w:tc>
          <w:tcPr>
            <w:tcW w:w="1803" w:type="dxa"/>
            <w:vAlign w:val="center"/>
          </w:tcPr>
          <w:p w14:paraId="62501158"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Recall</w:t>
            </w:r>
          </w:p>
        </w:tc>
        <w:tc>
          <w:tcPr>
            <w:tcW w:w="1803" w:type="dxa"/>
            <w:vAlign w:val="center"/>
          </w:tcPr>
          <w:p w14:paraId="34B63FBA"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0.87</w:t>
            </w:r>
          </w:p>
        </w:tc>
        <w:tc>
          <w:tcPr>
            <w:tcW w:w="1803" w:type="dxa"/>
            <w:vAlign w:val="center"/>
          </w:tcPr>
          <w:p w14:paraId="4EB7857B"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0.97</w:t>
            </w:r>
          </w:p>
        </w:tc>
        <w:tc>
          <w:tcPr>
            <w:tcW w:w="1803" w:type="dxa"/>
            <w:vAlign w:val="center"/>
          </w:tcPr>
          <w:p w14:paraId="7188A163"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c>
          <w:tcPr>
            <w:tcW w:w="1804" w:type="dxa"/>
            <w:vAlign w:val="center"/>
          </w:tcPr>
          <w:p w14:paraId="21A44DC6"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r>
      <w:tr w:rsidR="002F0DA9" w14:paraId="1AD41CB8" w14:textId="77777777">
        <w:trPr>
          <w:trHeight w:val="252"/>
          <w:jc w:val="center"/>
        </w:trPr>
        <w:tc>
          <w:tcPr>
            <w:tcW w:w="1803" w:type="dxa"/>
            <w:vAlign w:val="center"/>
          </w:tcPr>
          <w:p w14:paraId="718AB060"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F1-score</w:t>
            </w:r>
          </w:p>
        </w:tc>
        <w:tc>
          <w:tcPr>
            <w:tcW w:w="1803" w:type="dxa"/>
            <w:vAlign w:val="center"/>
          </w:tcPr>
          <w:p w14:paraId="709D4EBB"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c>
          <w:tcPr>
            <w:tcW w:w="1803" w:type="dxa"/>
            <w:vAlign w:val="center"/>
          </w:tcPr>
          <w:p w14:paraId="5DE23F83"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0.93</w:t>
            </w:r>
          </w:p>
        </w:tc>
        <w:tc>
          <w:tcPr>
            <w:tcW w:w="1803" w:type="dxa"/>
            <w:vAlign w:val="center"/>
          </w:tcPr>
          <w:p w14:paraId="4BAB6DDD"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c>
          <w:tcPr>
            <w:tcW w:w="1804" w:type="dxa"/>
            <w:vAlign w:val="center"/>
          </w:tcPr>
          <w:p w14:paraId="0AA298F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r>
      <w:tr w:rsidR="002F0DA9" w14:paraId="5D7CE1F5" w14:textId="77777777">
        <w:trPr>
          <w:jc w:val="center"/>
        </w:trPr>
        <w:tc>
          <w:tcPr>
            <w:tcW w:w="1803" w:type="dxa"/>
            <w:vAlign w:val="center"/>
          </w:tcPr>
          <w:p w14:paraId="565E8D84"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Support</w:t>
            </w:r>
          </w:p>
        </w:tc>
        <w:tc>
          <w:tcPr>
            <w:tcW w:w="1803" w:type="dxa"/>
            <w:vAlign w:val="center"/>
          </w:tcPr>
          <w:p w14:paraId="0467F685"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6545</w:t>
            </w:r>
          </w:p>
        </w:tc>
        <w:tc>
          <w:tcPr>
            <w:tcW w:w="1803" w:type="dxa"/>
            <w:vAlign w:val="center"/>
          </w:tcPr>
          <w:p w14:paraId="2368FF92"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6552</w:t>
            </w:r>
          </w:p>
        </w:tc>
        <w:tc>
          <w:tcPr>
            <w:tcW w:w="1803" w:type="dxa"/>
            <w:vAlign w:val="center"/>
          </w:tcPr>
          <w:p w14:paraId="0E2140C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w:t>
            </w:r>
          </w:p>
        </w:tc>
        <w:tc>
          <w:tcPr>
            <w:tcW w:w="1804" w:type="dxa"/>
            <w:vAlign w:val="center"/>
          </w:tcPr>
          <w:p w14:paraId="2CC00497"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w:t>
            </w:r>
          </w:p>
        </w:tc>
      </w:tr>
      <w:tr w:rsidR="002F0DA9" w14:paraId="6DA95D5E" w14:textId="77777777">
        <w:trPr>
          <w:jc w:val="center"/>
        </w:trPr>
        <w:tc>
          <w:tcPr>
            <w:tcW w:w="1803" w:type="dxa"/>
            <w:vAlign w:val="center"/>
          </w:tcPr>
          <w:p w14:paraId="1AF54A53" w14:textId="77777777" w:rsidR="002F0DA9" w:rsidRDefault="00000000">
            <w:pPr>
              <w:rPr>
                <w:rFonts w:ascii="Times New Roman" w:eastAsia="Times New Roman" w:hAnsi="Times New Roman" w:cs="Times New Roman"/>
              </w:rPr>
            </w:pPr>
            <w:r>
              <w:rPr>
                <w:rFonts w:ascii="Times New Roman" w:eastAsia="Times New Roman" w:hAnsi="Times New Roman" w:cs="Times New Roman"/>
              </w:rPr>
              <w:t>Accuracy</w:t>
            </w:r>
          </w:p>
        </w:tc>
        <w:tc>
          <w:tcPr>
            <w:tcW w:w="1803" w:type="dxa"/>
            <w:vAlign w:val="center"/>
          </w:tcPr>
          <w:p w14:paraId="4F310F3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w:t>
            </w:r>
          </w:p>
        </w:tc>
        <w:tc>
          <w:tcPr>
            <w:tcW w:w="1803" w:type="dxa"/>
            <w:vAlign w:val="center"/>
          </w:tcPr>
          <w:p w14:paraId="2821B29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w:t>
            </w:r>
          </w:p>
        </w:tc>
        <w:tc>
          <w:tcPr>
            <w:tcW w:w="1803" w:type="dxa"/>
            <w:vAlign w:val="center"/>
          </w:tcPr>
          <w:p w14:paraId="2FCDC74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w:t>
            </w:r>
          </w:p>
        </w:tc>
        <w:tc>
          <w:tcPr>
            <w:tcW w:w="1804" w:type="dxa"/>
            <w:vAlign w:val="center"/>
          </w:tcPr>
          <w:p w14:paraId="046339B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92</w:t>
            </w:r>
          </w:p>
        </w:tc>
      </w:tr>
    </w:tbl>
    <w:p w14:paraId="156FDB15" w14:textId="77777777" w:rsidR="002F0DA9" w:rsidRDefault="002F0DA9">
      <w:pPr>
        <w:spacing w:after="0" w:line="240" w:lineRule="auto"/>
        <w:jc w:val="both"/>
        <w:rPr>
          <w:rFonts w:ascii="Times New Roman" w:eastAsia="Times New Roman" w:hAnsi="Times New Roman" w:cs="Times New Roman"/>
          <w:b/>
          <w:bCs/>
        </w:rPr>
      </w:pPr>
    </w:p>
    <w:p w14:paraId="7F3478E3" w14:textId="5B4BB0A6" w:rsidR="002F0DA9" w:rsidRPr="00A3200E" w:rsidRDefault="00000000">
      <w:pPr>
        <w:tabs>
          <w:tab w:val="left" w:pos="1152"/>
        </w:tabs>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3.1.2 ROC Curve Analysis</w:t>
      </w:r>
    </w:p>
    <w:p w14:paraId="1B0E8884" w14:textId="77777777" w:rsidR="002F0DA9" w:rsidRDefault="002F0DA9">
      <w:pPr>
        <w:spacing w:after="0" w:line="240" w:lineRule="auto"/>
        <w:jc w:val="both"/>
        <w:rPr>
          <w:rFonts w:ascii="Times New Roman" w:eastAsia="Times New Roman" w:hAnsi="Times New Roman" w:cs="Times New Roman"/>
        </w:rPr>
      </w:pPr>
    </w:p>
    <w:p w14:paraId="1797E0BC" w14:textId="77777777" w:rsidR="002F0DA9" w:rsidRDefault="00000000" w:rsidP="00A32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determine the discriminating power of the proposed model, the receiver operating characteristic (ROC) curve for the same was plotted using Python (Version 3.12) with the help of the scikit-learn and matplotlib packages. The ROC of the model yielded a value of 0.979, reflecting high discrimination ability of the model between the active and the inactive chemical compounds. The value of AUC being near to one </w:t>
      </w:r>
      <w:proofErr w:type="gramStart"/>
      <w:r>
        <w:rPr>
          <w:rFonts w:ascii="Times New Roman" w:eastAsia="Times New Roman" w:hAnsi="Times New Roman" w:cs="Times New Roman"/>
        </w:rPr>
        <w:t>shows</w:t>
      </w:r>
      <w:proofErr w:type="gramEnd"/>
      <w:r>
        <w:rPr>
          <w:rFonts w:ascii="Times New Roman" w:eastAsia="Times New Roman" w:hAnsi="Times New Roman" w:cs="Times New Roman"/>
        </w:rPr>
        <w:t xml:space="preserve"> that the discriminating power of the proposed model is very high (</w:t>
      </w:r>
      <w:r>
        <w:rPr>
          <w:rFonts w:ascii="Times New Roman" w:eastAsia="Times New Roman" w:hAnsi="Times New Roman" w:cs="Times New Roman"/>
          <w:b/>
          <w:bCs/>
        </w:rPr>
        <w:t>Fig. 2</w:t>
      </w:r>
      <w:r>
        <w:rPr>
          <w:rFonts w:ascii="Times New Roman" w:eastAsia="Times New Roman" w:hAnsi="Times New Roman" w:cs="Times New Roman"/>
        </w:rPr>
        <w:t>).</w:t>
      </w:r>
    </w:p>
    <w:p w14:paraId="3895494A" w14:textId="77777777" w:rsidR="002F0DA9" w:rsidRDefault="002F0DA9">
      <w:pPr>
        <w:spacing w:after="0" w:line="240" w:lineRule="auto"/>
        <w:jc w:val="both"/>
        <w:rPr>
          <w:rFonts w:ascii="Times New Roman" w:eastAsia="Times New Roman" w:hAnsi="Times New Roman" w:cs="Times New Roman"/>
        </w:rPr>
      </w:pPr>
    </w:p>
    <w:p w14:paraId="5229702D"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D6D2049" wp14:editId="6E7C681C">
            <wp:extent cx="4155222" cy="415522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155222" cy="4155222"/>
                    </a:xfrm>
                    <a:prstGeom prst="rect">
                      <a:avLst/>
                    </a:prstGeom>
                    <a:ln/>
                  </pic:spPr>
                </pic:pic>
              </a:graphicData>
            </a:graphic>
          </wp:inline>
        </w:drawing>
      </w:r>
    </w:p>
    <w:p w14:paraId="1AC15574" w14:textId="01C4C6D8"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2</w:t>
      </w:r>
      <w:r>
        <w:rPr>
          <w:rFonts w:ascii="Times New Roman" w:eastAsia="Times New Roman" w:hAnsi="Times New Roman" w:cs="Times New Roman"/>
        </w:rPr>
        <w:t xml:space="preserve"> Receiver Operating Characteristic (ROC) curve of the XGBoost classification model showing an AUC value of 0.979 for distinguishing active and inactive CCR5 inhibitors</w:t>
      </w:r>
    </w:p>
    <w:p w14:paraId="05F7F439" w14:textId="77777777" w:rsidR="002F0DA9" w:rsidRDefault="002F0DA9">
      <w:pPr>
        <w:spacing w:after="0" w:line="240" w:lineRule="auto"/>
        <w:jc w:val="both"/>
        <w:rPr>
          <w:rFonts w:ascii="Times New Roman" w:eastAsia="Times New Roman" w:hAnsi="Times New Roman" w:cs="Times New Roman"/>
        </w:rPr>
      </w:pPr>
    </w:p>
    <w:p w14:paraId="20D0A505" w14:textId="77777777" w:rsidR="006F3774" w:rsidRDefault="006F3774">
      <w:pPr>
        <w:spacing w:after="0" w:line="240" w:lineRule="auto"/>
        <w:jc w:val="both"/>
        <w:rPr>
          <w:rFonts w:ascii="Times New Roman" w:eastAsia="Times New Roman" w:hAnsi="Times New Roman" w:cs="Times New Roman"/>
        </w:rPr>
      </w:pPr>
    </w:p>
    <w:p w14:paraId="7B664D6A" w14:textId="77777777" w:rsidR="00C5229E" w:rsidRDefault="00C5229E">
      <w:pPr>
        <w:spacing w:after="0" w:line="240" w:lineRule="auto"/>
        <w:jc w:val="both"/>
        <w:rPr>
          <w:rFonts w:ascii="Times New Roman" w:eastAsia="Times New Roman" w:hAnsi="Times New Roman" w:cs="Times New Roman"/>
        </w:rPr>
      </w:pPr>
    </w:p>
    <w:p w14:paraId="1A5252F8" w14:textId="77777777" w:rsidR="00C5229E" w:rsidRDefault="00C5229E">
      <w:pPr>
        <w:spacing w:after="0" w:line="240" w:lineRule="auto"/>
        <w:jc w:val="both"/>
        <w:rPr>
          <w:rFonts w:ascii="Times New Roman" w:eastAsia="Times New Roman" w:hAnsi="Times New Roman" w:cs="Times New Roman"/>
        </w:rPr>
      </w:pPr>
    </w:p>
    <w:p w14:paraId="04316715" w14:textId="77777777" w:rsidR="00C5229E" w:rsidRDefault="00C5229E">
      <w:pPr>
        <w:spacing w:after="0" w:line="240" w:lineRule="auto"/>
        <w:jc w:val="both"/>
        <w:rPr>
          <w:rFonts w:ascii="Times New Roman" w:eastAsia="Times New Roman" w:hAnsi="Times New Roman" w:cs="Times New Roman"/>
        </w:rPr>
      </w:pPr>
    </w:p>
    <w:p w14:paraId="5B1BEFF6" w14:textId="77777777" w:rsidR="006F3774" w:rsidRDefault="006F3774">
      <w:pPr>
        <w:spacing w:after="0" w:line="240" w:lineRule="auto"/>
        <w:jc w:val="both"/>
        <w:rPr>
          <w:rFonts w:ascii="Times New Roman" w:eastAsia="Times New Roman" w:hAnsi="Times New Roman" w:cs="Times New Roman"/>
        </w:rPr>
      </w:pPr>
    </w:p>
    <w:p w14:paraId="1460E136" w14:textId="750D0D94" w:rsidR="002F0DA9" w:rsidRPr="00A3200E" w:rsidRDefault="00000000">
      <w:pPr>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lastRenderedPageBreak/>
        <w:t>3.1.3 Confusion Matrix Analysis</w:t>
      </w:r>
    </w:p>
    <w:p w14:paraId="63AC986D" w14:textId="77777777" w:rsidR="002F0DA9" w:rsidRDefault="002F0DA9">
      <w:pPr>
        <w:spacing w:after="0" w:line="240" w:lineRule="auto"/>
        <w:jc w:val="both"/>
        <w:rPr>
          <w:rFonts w:ascii="Times New Roman" w:eastAsia="Times New Roman" w:hAnsi="Times New Roman" w:cs="Times New Roman"/>
        </w:rPr>
      </w:pPr>
    </w:p>
    <w:p w14:paraId="6F607632" w14:textId="77777777" w:rsidR="002F0DA9" w:rsidRDefault="00000000" w:rsidP="00A32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confusion matrix provides additional insights into the performance of the classifier model by displaying the numbers of true positives, false positives, true negatives, and false negatives. The model was able to classify 6,383 inactive compounds (true negatives) and 5,710 active compounds (true positives) accurately. There were only few instances where the compounds were not classified correctly. Inactive compounds that were classified as active (false positives) totalled 169, while active compounds classified as inactive (false negatives) reached 835 (</w:t>
      </w:r>
      <w:r>
        <w:rPr>
          <w:rFonts w:ascii="Times New Roman" w:eastAsia="Times New Roman" w:hAnsi="Times New Roman" w:cs="Times New Roman"/>
          <w:b/>
          <w:bCs/>
        </w:rPr>
        <w:t>Fig. 3</w:t>
      </w:r>
      <w:r>
        <w:rPr>
          <w:rFonts w:ascii="Times New Roman" w:eastAsia="Times New Roman" w:hAnsi="Times New Roman" w:cs="Times New Roman"/>
        </w:rPr>
        <w:t>).</w:t>
      </w:r>
    </w:p>
    <w:p w14:paraId="62A34BE1" w14:textId="77777777" w:rsidR="002F0DA9" w:rsidRDefault="002F0DA9">
      <w:pPr>
        <w:spacing w:after="0" w:line="240" w:lineRule="auto"/>
        <w:ind w:firstLine="360"/>
        <w:jc w:val="both"/>
        <w:rPr>
          <w:rFonts w:ascii="Times New Roman" w:eastAsia="Times New Roman" w:hAnsi="Times New Roman" w:cs="Times New Roman"/>
        </w:rPr>
      </w:pPr>
    </w:p>
    <w:p w14:paraId="2DA2F059"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B2E0F9" wp14:editId="2A6D9264">
            <wp:extent cx="4123011" cy="339967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123011" cy="3399676"/>
                    </a:xfrm>
                    <a:prstGeom prst="rect">
                      <a:avLst/>
                    </a:prstGeom>
                    <a:ln/>
                  </pic:spPr>
                </pic:pic>
              </a:graphicData>
            </a:graphic>
          </wp:inline>
        </w:drawing>
      </w:r>
    </w:p>
    <w:p w14:paraId="5EEB589A" w14:textId="77777777" w:rsidR="002F0DA9" w:rsidRDefault="002F0DA9">
      <w:pPr>
        <w:spacing w:after="0" w:line="240" w:lineRule="auto"/>
        <w:rPr>
          <w:rFonts w:ascii="Times New Roman" w:eastAsia="Times New Roman" w:hAnsi="Times New Roman" w:cs="Times New Roman"/>
        </w:rPr>
      </w:pPr>
    </w:p>
    <w:p w14:paraId="05B2F6B9" w14:textId="10CEE10E" w:rsidR="002F0DA9" w:rsidRDefault="00000000">
      <w:pPr>
        <w:tabs>
          <w:tab w:val="left" w:pos="1152"/>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Fig. 3 </w:t>
      </w:r>
      <w:r>
        <w:rPr>
          <w:rFonts w:ascii="Times New Roman" w:eastAsia="Times New Roman" w:hAnsi="Times New Roman" w:cs="Times New Roman"/>
        </w:rPr>
        <w:t>Confusion matrix illustrating the classification performance of the XGBoost model for prediction of CCR5 inhibitors</w:t>
      </w:r>
    </w:p>
    <w:p w14:paraId="3DAFC477" w14:textId="77777777" w:rsidR="002F0DA9" w:rsidRDefault="002F0DA9">
      <w:pPr>
        <w:tabs>
          <w:tab w:val="left" w:pos="1152"/>
        </w:tabs>
        <w:spacing w:after="0" w:line="240" w:lineRule="auto"/>
        <w:jc w:val="both"/>
        <w:rPr>
          <w:rFonts w:ascii="Times New Roman" w:eastAsia="Times New Roman" w:hAnsi="Times New Roman" w:cs="Times New Roman"/>
        </w:rPr>
      </w:pPr>
    </w:p>
    <w:p w14:paraId="1B10D7FC" w14:textId="6B9C8B0F" w:rsidR="002F0DA9" w:rsidRPr="00A3200E" w:rsidRDefault="00000000">
      <w:pPr>
        <w:tabs>
          <w:tab w:val="left" w:pos="1152"/>
        </w:tabs>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3.1.4 Feature Importance Analysis</w:t>
      </w:r>
    </w:p>
    <w:p w14:paraId="703A8E59"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1173E831" w14:textId="6F8FA865" w:rsidR="002F0DA9" w:rsidRDefault="00000000">
      <w:pPr>
        <w:tabs>
          <w:tab w:val="left" w:pos="72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determine which molecular fingerprint features contributed most to the prediction of the CCR5 inhibition activity, a feature importance analysis was conducted. The feature importance values for the descriptors obtained from the Morgan fingerprints using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in Python were plotted to find out which descriptors played important roles in predicting the CCR5 inhibition activity. The </w:t>
      </w:r>
      <w:r>
        <w:rPr>
          <w:rFonts w:ascii="Times New Roman" w:eastAsia="Times New Roman" w:hAnsi="Times New Roman" w:cs="Times New Roman"/>
          <w:b/>
          <w:bCs/>
        </w:rPr>
        <w:t>Fig.</w:t>
      </w:r>
      <w:r w:rsidR="00C7578C">
        <w:rPr>
          <w:rFonts w:ascii="Times New Roman" w:eastAsia="Times New Roman" w:hAnsi="Times New Roman" w:cs="Times New Roman"/>
          <w:b/>
          <w:bCs/>
        </w:rPr>
        <w:t xml:space="preserve"> </w:t>
      </w:r>
      <w:r>
        <w:rPr>
          <w:rFonts w:ascii="Times New Roman" w:eastAsia="Times New Roman" w:hAnsi="Times New Roman" w:cs="Times New Roman"/>
          <w:b/>
          <w:bCs/>
        </w:rPr>
        <w:t>4</w:t>
      </w:r>
      <w:r>
        <w:rPr>
          <w:rFonts w:ascii="Times New Roman" w:eastAsia="Times New Roman" w:hAnsi="Times New Roman" w:cs="Times New Roman"/>
        </w:rPr>
        <w:t xml:space="preserve"> shows the top fingerprint features in terms of the contributions to the classification model, suggesting that certain substructure patterns in molecules play important roles in CCR5 inhibition activity prediction.</w:t>
      </w:r>
    </w:p>
    <w:p w14:paraId="269F5D05" w14:textId="77777777" w:rsidR="002F0DA9" w:rsidRDefault="002F0DA9">
      <w:pPr>
        <w:tabs>
          <w:tab w:val="left" w:pos="1152"/>
        </w:tabs>
        <w:spacing w:after="0" w:line="240" w:lineRule="auto"/>
        <w:jc w:val="both"/>
        <w:rPr>
          <w:rFonts w:ascii="Times New Roman" w:eastAsia="Times New Roman" w:hAnsi="Times New Roman" w:cs="Times New Roman"/>
        </w:rPr>
      </w:pPr>
    </w:p>
    <w:p w14:paraId="4AC04BA7" w14:textId="77777777" w:rsidR="002F0DA9" w:rsidRDefault="002F0DA9">
      <w:pPr>
        <w:tabs>
          <w:tab w:val="left" w:pos="1152"/>
        </w:tabs>
        <w:spacing w:after="0" w:line="240" w:lineRule="auto"/>
        <w:jc w:val="both"/>
        <w:rPr>
          <w:rFonts w:ascii="Times New Roman" w:eastAsia="Times New Roman" w:hAnsi="Times New Roman" w:cs="Times New Roman"/>
        </w:rPr>
      </w:pPr>
    </w:p>
    <w:p w14:paraId="4E232068" w14:textId="77777777" w:rsidR="002F0DA9" w:rsidRDefault="00000000">
      <w:pPr>
        <w:tabs>
          <w:tab w:val="left" w:pos="1152"/>
        </w:tabs>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895C950" wp14:editId="3558EABD">
            <wp:extent cx="4492617" cy="33567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492617" cy="3356770"/>
                    </a:xfrm>
                    <a:prstGeom prst="rect">
                      <a:avLst/>
                    </a:prstGeom>
                    <a:ln/>
                  </pic:spPr>
                </pic:pic>
              </a:graphicData>
            </a:graphic>
          </wp:inline>
        </w:drawing>
      </w:r>
    </w:p>
    <w:p w14:paraId="349F0E59" w14:textId="77777777" w:rsidR="002F0DA9" w:rsidRDefault="002F0DA9">
      <w:pPr>
        <w:tabs>
          <w:tab w:val="left" w:pos="1152"/>
        </w:tabs>
        <w:spacing w:after="0" w:line="240" w:lineRule="auto"/>
        <w:jc w:val="both"/>
        <w:rPr>
          <w:rFonts w:ascii="Times New Roman" w:eastAsia="Times New Roman" w:hAnsi="Times New Roman" w:cs="Times New Roman"/>
        </w:rPr>
      </w:pPr>
    </w:p>
    <w:p w14:paraId="54F63AA2" w14:textId="3D517836" w:rsidR="002F0DA9" w:rsidRDefault="00000000">
      <w:pPr>
        <w:tabs>
          <w:tab w:val="left" w:pos="1152"/>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 4 </w:t>
      </w:r>
      <w:r>
        <w:rPr>
          <w:rFonts w:ascii="Times New Roman" w:eastAsia="Times New Roman" w:hAnsi="Times New Roman" w:cs="Times New Roman"/>
        </w:rPr>
        <w:t>Feature importance plot showing the most influential Morgan fingerprint descriptors contributing to CCR5 inhibitor prediction</w:t>
      </w:r>
    </w:p>
    <w:p w14:paraId="05342B94"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3D786E42" w14:textId="753C24E6" w:rsidR="002F0DA9" w:rsidRPr="00A3200E" w:rsidRDefault="00000000">
      <w:pPr>
        <w:tabs>
          <w:tab w:val="left" w:pos="1152"/>
        </w:tabs>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3.1.5 External Validation</w:t>
      </w:r>
    </w:p>
    <w:p w14:paraId="502ABB3C" w14:textId="77777777" w:rsidR="002F0DA9" w:rsidRDefault="002F0DA9">
      <w:pPr>
        <w:tabs>
          <w:tab w:val="left" w:pos="1152"/>
        </w:tabs>
        <w:spacing w:after="0" w:line="240" w:lineRule="auto"/>
        <w:jc w:val="both"/>
        <w:rPr>
          <w:rFonts w:ascii="Times New Roman" w:eastAsia="Times New Roman" w:hAnsi="Times New Roman" w:cs="Times New Roman"/>
        </w:rPr>
      </w:pPr>
    </w:p>
    <w:p w14:paraId="125DBDCC" w14:textId="519A145E" w:rsidR="002F0DA9" w:rsidRDefault="00000000">
      <w:pPr>
        <w:tabs>
          <w:tab w:val="left" w:pos="72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additional step to measure the prediction capabilities of the trained model, external validation was conducted with the help of CCR5 targeting drugs. The trained model was validated against FDA approved and investigational molecules that were observed to bind with the target receptor. This includes Maraviroc, a clinically approved CCR5 inhibitor. The prediction confidence score for these molecules was found to be high (~0.99). This indicates the effectiveness and accuracy of the trained model in predicting CCR5 binding molecules.</w:t>
      </w:r>
    </w:p>
    <w:p w14:paraId="3146FC26"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B440AC2" w14:textId="1F606F49" w:rsidR="002F0DA9" w:rsidRPr="00A3200E" w:rsidRDefault="00000000">
      <w:pPr>
        <w:tabs>
          <w:tab w:val="left" w:pos="1152"/>
        </w:tabs>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3.1.6 Model Prediction Outcome</w:t>
      </w:r>
    </w:p>
    <w:p w14:paraId="4C5D7CDB" w14:textId="77777777" w:rsidR="002F0DA9" w:rsidRDefault="002F0DA9">
      <w:pPr>
        <w:tabs>
          <w:tab w:val="left" w:pos="1152"/>
        </w:tabs>
        <w:spacing w:after="0" w:line="240" w:lineRule="auto"/>
        <w:jc w:val="both"/>
        <w:rPr>
          <w:rFonts w:ascii="Times New Roman" w:eastAsia="Times New Roman" w:hAnsi="Times New Roman" w:cs="Times New Roman"/>
        </w:rPr>
      </w:pPr>
    </w:p>
    <w:p w14:paraId="398BC93B" w14:textId="1F0C339D" w:rsidR="002F0DA9" w:rsidRDefault="00000000">
      <w:pPr>
        <w:tabs>
          <w:tab w:val="left" w:pos="72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trained XGBoost model was applied to the pre-processed FooDB dataset to classify compounds as predicted active or inactive based on their probability scores. A probability threshold of 0.70 (70%) was used to identify compounds with a high likelihood of CCR5 inhibitory activity. Of the 69,606 compounds remaining after data cleaning and preprocessing, 10,329 compounds were predicted to be potentially active against CCR5. These compounds were subsequently ranked according to their predicted activity probabilities, and the 2,000 compounds with the highest probability scores (≥70%) were prioritized for further drug-likeness evaluation.</w:t>
      </w:r>
    </w:p>
    <w:p w14:paraId="0191767A"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447ACF75" w14:textId="3224E33B" w:rsidR="002F0DA9" w:rsidRPr="00A3200E" w:rsidRDefault="00000000">
      <w:pPr>
        <w:tabs>
          <w:tab w:val="left" w:pos="1152"/>
        </w:tabs>
        <w:spacing w:after="0" w:line="240" w:lineRule="auto"/>
        <w:jc w:val="both"/>
        <w:rPr>
          <w:rFonts w:ascii="Times New Roman" w:eastAsia="Times New Roman" w:hAnsi="Times New Roman" w:cs="Times New Roman"/>
          <w:b/>
          <w:bCs/>
        </w:rPr>
      </w:pPr>
      <w:r w:rsidRPr="00A3200E">
        <w:rPr>
          <w:rFonts w:ascii="Times New Roman" w:eastAsia="Times New Roman" w:hAnsi="Times New Roman" w:cs="Times New Roman"/>
          <w:b/>
          <w:bCs/>
        </w:rPr>
        <w:t>3.2 Virtual Screening</w:t>
      </w:r>
    </w:p>
    <w:p w14:paraId="36758AA1" w14:textId="77777777" w:rsidR="002F0DA9" w:rsidRDefault="002F0DA9">
      <w:pPr>
        <w:tabs>
          <w:tab w:val="left" w:pos="1152"/>
        </w:tabs>
        <w:spacing w:after="0" w:line="240" w:lineRule="auto"/>
        <w:jc w:val="both"/>
        <w:rPr>
          <w:rFonts w:ascii="Times New Roman" w:eastAsia="Times New Roman" w:hAnsi="Times New Roman" w:cs="Times New Roman"/>
          <w:b/>
          <w:bCs/>
          <w:i/>
          <w:iCs/>
        </w:rPr>
      </w:pPr>
    </w:p>
    <w:p w14:paraId="56542099" w14:textId="77777777" w:rsidR="002F0DA9" w:rsidRPr="00A3200E" w:rsidRDefault="00000000" w:rsidP="00A3200E">
      <w:pPr>
        <w:numPr>
          <w:ilvl w:val="2"/>
          <w:numId w:val="12"/>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sidRPr="00A3200E">
        <w:rPr>
          <w:rFonts w:ascii="Times New Roman" w:eastAsia="Times New Roman" w:hAnsi="Times New Roman" w:cs="Times New Roman"/>
          <w:b/>
          <w:bCs/>
          <w:color w:val="000000"/>
        </w:rPr>
        <w:t>Drug-likeness analysis</w:t>
      </w:r>
    </w:p>
    <w:p w14:paraId="74736CD0"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B226299" w14:textId="19625A3E" w:rsidR="002F0DA9" w:rsidRDefault="00000000" w:rsidP="00A32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drug-likeness analysis was performed using the Lipinski, Ghose, Veber, and Egan filters to evaluate the physicochemical suitability of the screened compounds. The selected compounds were assessed based on molecular weight, lipophilicity, hydrogen-bond donors and </w:t>
      </w:r>
      <w:r>
        <w:rPr>
          <w:rFonts w:ascii="Times New Roman" w:eastAsia="Times New Roman" w:hAnsi="Times New Roman" w:cs="Times New Roman"/>
        </w:rPr>
        <w:lastRenderedPageBreak/>
        <w:t xml:space="preserve">acceptors, molar refractivity, total atom count, rotatable bonds, and topological polar surface area. As summarized in </w:t>
      </w:r>
      <w:r>
        <w:rPr>
          <w:rFonts w:ascii="Times New Roman" w:eastAsia="Times New Roman" w:hAnsi="Times New Roman" w:cs="Times New Roman"/>
          <w:b/>
          <w:bCs/>
        </w:rPr>
        <w:t>Table 2</w:t>
      </w:r>
      <w:r>
        <w:rPr>
          <w:rFonts w:ascii="Times New Roman" w:eastAsia="Times New Roman" w:hAnsi="Times New Roman" w:cs="Times New Roman"/>
        </w:rPr>
        <w:t xml:space="preserve">, the retained compounds satisfied the criteria of all four drug-likeness rules, indicating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physicochemical properties and potential suitability for oral administration. Overall, of the 2000 compounds screened, 170 compounds successfully passed all the applied filters and were subsequently prioritized for ADMET profiling and further computational evaluation against the CCR5 receptor</w:t>
      </w:r>
      <w:r w:rsidR="0019016D">
        <w:rPr>
          <w:rFonts w:ascii="Times New Roman" w:eastAsia="Times New Roman" w:hAnsi="Times New Roman" w:cs="Times New Roman"/>
        </w:rPr>
        <w:t xml:space="preserve"> (Supplementary table S1)</w:t>
      </w:r>
      <w:r>
        <w:rPr>
          <w:rFonts w:ascii="Times New Roman" w:eastAsia="Times New Roman" w:hAnsi="Times New Roman" w:cs="Times New Roman"/>
        </w:rPr>
        <w:t>.</w:t>
      </w:r>
    </w:p>
    <w:p w14:paraId="412D44F3"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0BAEF0E" w14:textId="550DEA6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2 </w:t>
      </w:r>
      <w:r>
        <w:rPr>
          <w:rFonts w:ascii="Times New Roman" w:eastAsia="Times New Roman" w:hAnsi="Times New Roman" w:cs="Times New Roman"/>
        </w:rPr>
        <w:t>Comprehensive drug-likeness evaluation of screened compounds using multiple physicochemical filtering criteria</w:t>
      </w:r>
    </w:p>
    <w:p w14:paraId="1E719839" w14:textId="77777777" w:rsidR="002F0DA9" w:rsidRDefault="002F0DA9">
      <w:pPr>
        <w:spacing w:after="0" w:line="240" w:lineRule="auto"/>
        <w:jc w:val="both"/>
        <w:rPr>
          <w:rFonts w:ascii="Times New Roman" w:eastAsia="Times New Roman" w:hAnsi="Times New Roman" w:cs="Times New Roman"/>
          <w:b/>
          <w:bCs/>
        </w:rPr>
      </w:pPr>
    </w:p>
    <w:tbl>
      <w:tblPr>
        <w:tblStyle w:val="a0"/>
        <w:tblW w:w="9021"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770"/>
        <w:gridCol w:w="1750"/>
        <w:gridCol w:w="4792"/>
        <w:gridCol w:w="1709"/>
      </w:tblGrid>
      <w:tr w:rsidR="002F0DA9" w14:paraId="04B577AE" w14:textId="77777777">
        <w:trPr>
          <w:jc w:val="center"/>
        </w:trPr>
        <w:tc>
          <w:tcPr>
            <w:tcW w:w="770" w:type="dxa"/>
            <w:tcBorders>
              <w:top w:val="single" w:sz="4" w:space="0" w:color="000000"/>
              <w:bottom w:val="single" w:sz="4" w:space="0" w:color="000000"/>
            </w:tcBorders>
            <w:vAlign w:val="center"/>
          </w:tcPr>
          <w:p w14:paraId="06E975AA" w14:textId="77777777" w:rsidR="002F0DA9" w:rsidRDefault="00000000">
            <w:pPr>
              <w:tabs>
                <w:tab w:val="left" w:pos="1152"/>
              </w:tabs>
              <w:jc w:val="center"/>
              <w:rPr>
                <w:rFonts w:ascii="Times New Roman" w:eastAsia="Times New Roman" w:hAnsi="Times New Roman" w:cs="Times New Roman"/>
                <w:b/>
                <w:bCs/>
              </w:rPr>
            </w:pPr>
            <w:proofErr w:type="spellStart"/>
            <w:proofErr w:type="gramStart"/>
            <w:r>
              <w:rPr>
                <w:rFonts w:ascii="Times New Roman" w:eastAsia="Times New Roman" w:hAnsi="Times New Roman" w:cs="Times New Roman"/>
                <w:b/>
                <w:bCs/>
              </w:rPr>
              <w:t>Sl.No</w:t>
            </w:r>
            <w:proofErr w:type="spellEnd"/>
            <w:proofErr w:type="gramEnd"/>
          </w:p>
        </w:tc>
        <w:tc>
          <w:tcPr>
            <w:tcW w:w="1750" w:type="dxa"/>
            <w:tcBorders>
              <w:top w:val="single" w:sz="4" w:space="0" w:color="000000"/>
              <w:bottom w:val="single" w:sz="4" w:space="0" w:color="000000"/>
            </w:tcBorders>
            <w:vAlign w:val="center"/>
          </w:tcPr>
          <w:p w14:paraId="4553A727" w14:textId="77777777" w:rsidR="002F0DA9" w:rsidRDefault="00000000">
            <w:pPr>
              <w:tabs>
                <w:tab w:val="left" w:pos="1152"/>
              </w:tabs>
              <w:jc w:val="center"/>
              <w:rPr>
                <w:rFonts w:ascii="Times New Roman" w:eastAsia="Times New Roman" w:hAnsi="Times New Roman" w:cs="Times New Roman"/>
                <w:b/>
                <w:bCs/>
              </w:rPr>
            </w:pPr>
            <w:r>
              <w:rPr>
                <w:rFonts w:ascii="Times New Roman" w:eastAsia="Times New Roman" w:hAnsi="Times New Roman" w:cs="Times New Roman"/>
                <w:b/>
                <w:bCs/>
              </w:rPr>
              <w:t>Drug-likeness Rule</w:t>
            </w:r>
          </w:p>
        </w:tc>
        <w:tc>
          <w:tcPr>
            <w:tcW w:w="4792" w:type="dxa"/>
            <w:tcBorders>
              <w:top w:val="single" w:sz="4" w:space="0" w:color="000000"/>
              <w:bottom w:val="single" w:sz="4" w:space="0" w:color="000000"/>
            </w:tcBorders>
            <w:vAlign w:val="center"/>
          </w:tcPr>
          <w:p w14:paraId="354061B1" w14:textId="77777777" w:rsidR="002F0DA9" w:rsidRDefault="00000000">
            <w:pPr>
              <w:tabs>
                <w:tab w:val="left" w:pos="1152"/>
              </w:tabs>
              <w:jc w:val="center"/>
              <w:rPr>
                <w:rFonts w:ascii="Times New Roman" w:eastAsia="Times New Roman" w:hAnsi="Times New Roman" w:cs="Times New Roman"/>
                <w:b/>
                <w:bCs/>
              </w:rPr>
            </w:pPr>
            <w:r>
              <w:rPr>
                <w:rFonts w:ascii="Times New Roman" w:eastAsia="Times New Roman" w:hAnsi="Times New Roman" w:cs="Times New Roman"/>
                <w:b/>
                <w:bCs/>
              </w:rPr>
              <w:t>Criteria Parameters</w:t>
            </w:r>
          </w:p>
        </w:tc>
        <w:tc>
          <w:tcPr>
            <w:tcW w:w="1709" w:type="dxa"/>
            <w:tcBorders>
              <w:top w:val="single" w:sz="4" w:space="0" w:color="000000"/>
              <w:bottom w:val="single" w:sz="4" w:space="0" w:color="000000"/>
            </w:tcBorders>
            <w:vAlign w:val="center"/>
          </w:tcPr>
          <w:p w14:paraId="01F08F48" w14:textId="77777777" w:rsidR="002F0DA9" w:rsidRDefault="00000000">
            <w:pPr>
              <w:tabs>
                <w:tab w:val="left" w:pos="1152"/>
              </w:tabs>
              <w:jc w:val="center"/>
              <w:rPr>
                <w:rFonts w:ascii="Times New Roman" w:eastAsia="Times New Roman" w:hAnsi="Times New Roman" w:cs="Times New Roman"/>
                <w:b/>
                <w:bCs/>
              </w:rPr>
            </w:pPr>
            <w:r>
              <w:rPr>
                <w:rFonts w:ascii="Times New Roman" w:eastAsia="Times New Roman" w:hAnsi="Times New Roman" w:cs="Times New Roman"/>
                <w:b/>
                <w:bCs/>
              </w:rPr>
              <w:t>Criteria Satisfied YES / NO</w:t>
            </w:r>
          </w:p>
        </w:tc>
      </w:tr>
      <w:tr w:rsidR="002F0DA9" w14:paraId="387500B4" w14:textId="77777777">
        <w:trPr>
          <w:trHeight w:val="665"/>
          <w:jc w:val="center"/>
        </w:trPr>
        <w:tc>
          <w:tcPr>
            <w:tcW w:w="770" w:type="dxa"/>
            <w:tcBorders>
              <w:top w:val="single" w:sz="4" w:space="0" w:color="000000"/>
            </w:tcBorders>
            <w:vAlign w:val="center"/>
          </w:tcPr>
          <w:p w14:paraId="40BCFC5F"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1</w:t>
            </w:r>
          </w:p>
        </w:tc>
        <w:tc>
          <w:tcPr>
            <w:tcW w:w="1750" w:type="dxa"/>
            <w:tcBorders>
              <w:top w:val="single" w:sz="4" w:space="0" w:color="000000"/>
            </w:tcBorders>
            <w:vAlign w:val="center"/>
          </w:tcPr>
          <w:p w14:paraId="2D2A8EC9"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Lipinski Rule</w:t>
            </w:r>
          </w:p>
        </w:tc>
        <w:tc>
          <w:tcPr>
            <w:tcW w:w="4792" w:type="dxa"/>
            <w:tcBorders>
              <w:top w:val="single" w:sz="4" w:space="0" w:color="000000"/>
            </w:tcBorders>
            <w:vAlign w:val="center"/>
          </w:tcPr>
          <w:p w14:paraId="54B48E1C"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 xml:space="preserve">Molecular weight ≤ 500 Da; </w:t>
            </w: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 5; H-bond donors ≤ 5; H-bond acceptors ≤ 10</w:t>
            </w:r>
          </w:p>
        </w:tc>
        <w:tc>
          <w:tcPr>
            <w:tcW w:w="1709" w:type="dxa"/>
            <w:tcBorders>
              <w:top w:val="single" w:sz="4" w:space="0" w:color="000000"/>
            </w:tcBorders>
            <w:vAlign w:val="center"/>
          </w:tcPr>
          <w:p w14:paraId="2DBCA0E3"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2E7F721E" w14:textId="77777777">
        <w:trPr>
          <w:trHeight w:val="657"/>
          <w:jc w:val="center"/>
        </w:trPr>
        <w:tc>
          <w:tcPr>
            <w:tcW w:w="770" w:type="dxa"/>
            <w:vAlign w:val="center"/>
          </w:tcPr>
          <w:p w14:paraId="7BA8C3DE"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2</w:t>
            </w:r>
          </w:p>
        </w:tc>
        <w:tc>
          <w:tcPr>
            <w:tcW w:w="1750" w:type="dxa"/>
            <w:vAlign w:val="center"/>
          </w:tcPr>
          <w:p w14:paraId="146F0A9F"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Ghose Filter</w:t>
            </w:r>
          </w:p>
        </w:tc>
        <w:tc>
          <w:tcPr>
            <w:tcW w:w="4792" w:type="dxa"/>
            <w:vAlign w:val="center"/>
          </w:tcPr>
          <w:p w14:paraId="02F729B1"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 xml:space="preserve">Molecular weight 160–480; </w:t>
            </w: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−0.4 to 5.6; Molar refractivity 40–130; Total atoms 20–70</w:t>
            </w:r>
          </w:p>
        </w:tc>
        <w:tc>
          <w:tcPr>
            <w:tcW w:w="1709" w:type="dxa"/>
            <w:vAlign w:val="center"/>
          </w:tcPr>
          <w:p w14:paraId="5F071A0E"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76B0B63A" w14:textId="77777777">
        <w:trPr>
          <w:trHeight w:val="648"/>
          <w:jc w:val="center"/>
        </w:trPr>
        <w:tc>
          <w:tcPr>
            <w:tcW w:w="770" w:type="dxa"/>
            <w:vAlign w:val="center"/>
          </w:tcPr>
          <w:p w14:paraId="6A49AA02"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3</w:t>
            </w:r>
          </w:p>
        </w:tc>
        <w:tc>
          <w:tcPr>
            <w:tcW w:w="1750" w:type="dxa"/>
            <w:vAlign w:val="center"/>
          </w:tcPr>
          <w:p w14:paraId="270C0903"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Veber Rule</w:t>
            </w:r>
          </w:p>
        </w:tc>
        <w:tc>
          <w:tcPr>
            <w:tcW w:w="4792" w:type="dxa"/>
            <w:vAlign w:val="center"/>
          </w:tcPr>
          <w:p w14:paraId="13C27C5A"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Rotatable bonds ≤ 10; Topological polar surface area (TPSA) ≤ 140 Å²</w:t>
            </w:r>
          </w:p>
        </w:tc>
        <w:tc>
          <w:tcPr>
            <w:tcW w:w="1709" w:type="dxa"/>
            <w:vAlign w:val="center"/>
          </w:tcPr>
          <w:p w14:paraId="27294E61"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159277F8" w14:textId="77777777">
        <w:trPr>
          <w:trHeight w:val="360"/>
          <w:jc w:val="center"/>
        </w:trPr>
        <w:tc>
          <w:tcPr>
            <w:tcW w:w="770" w:type="dxa"/>
            <w:vAlign w:val="center"/>
          </w:tcPr>
          <w:p w14:paraId="744BCAD9"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4</w:t>
            </w:r>
          </w:p>
        </w:tc>
        <w:tc>
          <w:tcPr>
            <w:tcW w:w="1750" w:type="dxa"/>
            <w:tcBorders>
              <w:bottom w:val="nil"/>
            </w:tcBorders>
            <w:vAlign w:val="center"/>
          </w:tcPr>
          <w:p w14:paraId="1AB1E9BC"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Egan Rule</w:t>
            </w:r>
          </w:p>
        </w:tc>
        <w:tc>
          <w:tcPr>
            <w:tcW w:w="4792" w:type="dxa"/>
            <w:tcBorders>
              <w:bottom w:val="nil"/>
            </w:tcBorders>
            <w:vAlign w:val="center"/>
          </w:tcPr>
          <w:p w14:paraId="3660915D" w14:textId="77777777" w:rsidR="002F0DA9" w:rsidRDefault="00000000">
            <w:pPr>
              <w:tabs>
                <w:tab w:val="left" w:pos="1152"/>
              </w:tabs>
              <w:rPr>
                <w:rFonts w:ascii="Times New Roman" w:eastAsia="Times New Roman" w:hAnsi="Times New Roman" w:cs="Times New Roman"/>
              </w:rPr>
            </w:pP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 5.88; TPSA ≤ 131 Å²</w:t>
            </w:r>
          </w:p>
        </w:tc>
        <w:tc>
          <w:tcPr>
            <w:tcW w:w="1709" w:type="dxa"/>
            <w:tcBorders>
              <w:bottom w:val="nil"/>
            </w:tcBorders>
            <w:vAlign w:val="center"/>
          </w:tcPr>
          <w:p w14:paraId="31B55BE0"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741DA6BA" w14:textId="77777777">
        <w:trPr>
          <w:trHeight w:val="351"/>
          <w:jc w:val="center"/>
        </w:trPr>
        <w:tc>
          <w:tcPr>
            <w:tcW w:w="770" w:type="dxa"/>
            <w:tcBorders>
              <w:right w:val="nil"/>
            </w:tcBorders>
            <w:vAlign w:val="center"/>
          </w:tcPr>
          <w:p w14:paraId="2F112589"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5</w:t>
            </w:r>
          </w:p>
        </w:tc>
        <w:tc>
          <w:tcPr>
            <w:tcW w:w="1750" w:type="dxa"/>
            <w:tcBorders>
              <w:top w:val="nil"/>
              <w:left w:val="nil"/>
              <w:bottom w:val="single" w:sz="4" w:space="0" w:color="000000"/>
              <w:right w:val="nil"/>
            </w:tcBorders>
            <w:vAlign w:val="center"/>
          </w:tcPr>
          <w:p w14:paraId="3FD9B456"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w:t>
            </w:r>
          </w:p>
        </w:tc>
        <w:tc>
          <w:tcPr>
            <w:tcW w:w="4792" w:type="dxa"/>
            <w:tcBorders>
              <w:top w:val="nil"/>
              <w:left w:val="nil"/>
              <w:bottom w:val="single" w:sz="4" w:space="0" w:color="000000"/>
              <w:right w:val="nil"/>
            </w:tcBorders>
            <w:vAlign w:val="center"/>
          </w:tcPr>
          <w:p w14:paraId="1DE83098"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Compounds satisfying all drug-likeness criteria</w:t>
            </w:r>
          </w:p>
        </w:tc>
        <w:tc>
          <w:tcPr>
            <w:tcW w:w="1709" w:type="dxa"/>
            <w:tcBorders>
              <w:top w:val="nil"/>
              <w:left w:val="nil"/>
              <w:bottom w:val="single" w:sz="4" w:space="0" w:color="000000"/>
              <w:right w:val="nil"/>
            </w:tcBorders>
            <w:vAlign w:val="center"/>
          </w:tcPr>
          <w:p w14:paraId="6F9CF987"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170</w:t>
            </w:r>
          </w:p>
        </w:tc>
      </w:tr>
    </w:tbl>
    <w:p w14:paraId="309222FC" w14:textId="77777777" w:rsidR="002F0DA9" w:rsidRDefault="002F0DA9">
      <w:pPr>
        <w:tabs>
          <w:tab w:val="left" w:pos="1152"/>
        </w:tabs>
        <w:spacing w:after="0" w:line="240" w:lineRule="auto"/>
        <w:jc w:val="both"/>
        <w:rPr>
          <w:rFonts w:ascii="Times New Roman" w:eastAsia="Times New Roman" w:hAnsi="Times New Roman" w:cs="Times New Roman"/>
        </w:rPr>
      </w:pPr>
    </w:p>
    <w:p w14:paraId="7154E94C" w14:textId="77777777" w:rsidR="002F0DA9" w:rsidRPr="00C00114" w:rsidRDefault="00000000" w:rsidP="00A3200E">
      <w:pPr>
        <w:numPr>
          <w:ilvl w:val="2"/>
          <w:numId w:val="12"/>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sidRPr="00C00114">
        <w:rPr>
          <w:rFonts w:ascii="Times New Roman" w:eastAsia="Times New Roman" w:hAnsi="Times New Roman" w:cs="Times New Roman"/>
          <w:b/>
          <w:bCs/>
          <w:color w:val="000000"/>
        </w:rPr>
        <w:t>ADMET profile analysis</w:t>
      </w:r>
    </w:p>
    <w:p w14:paraId="6186FAF3" w14:textId="77777777" w:rsidR="002F0DA9" w:rsidRDefault="002F0DA9">
      <w:pPr>
        <w:tabs>
          <w:tab w:val="left" w:pos="1152"/>
        </w:tabs>
        <w:spacing w:after="0" w:line="240" w:lineRule="auto"/>
        <w:jc w:val="both"/>
        <w:rPr>
          <w:rFonts w:ascii="Times New Roman" w:eastAsia="Times New Roman" w:hAnsi="Times New Roman" w:cs="Times New Roman"/>
        </w:rPr>
      </w:pPr>
    </w:p>
    <w:p w14:paraId="12561D50" w14:textId="274C6F63"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Among the 170 compounds that passed the drug-likeness filters, 11 compounds demonstrated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ADMET profiles and were selected for further evaluation. As presented in </w:t>
      </w:r>
      <w:r>
        <w:rPr>
          <w:rFonts w:ascii="Times New Roman" w:eastAsia="Times New Roman" w:hAnsi="Times New Roman" w:cs="Times New Roman"/>
          <w:b/>
          <w:bCs/>
        </w:rPr>
        <w:t>Table 3</w:t>
      </w:r>
      <w:r>
        <w:rPr>
          <w:rFonts w:ascii="Times New Roman" w:eastAsia="Times New Roman" w:hAnsi="Times New Roman" w:cs="Times New Roman"/>
        </w:rPr>
        <w:t xml:space="preserve">, all 11 selected compounds were predicted to exhibit human intestinal absorption, indicating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absorption potential. All compounds were predicted to act as P-glycoprotein inhibitors and CYP1A2 substrates, while none were predicted to inhibit CYP2D6. Regarding distribution, six compounds were predicted to be blood–brain barrier penetrable, whereas five compounds, including FDB020301, were predicted to be non-penetrable. Overall, these results indicate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pharmacokinetic characteristics for the shortlisted compounds.</w:t>
      </w:r>
    </w:p>
    <w:p w14:paraId="0CAF4229" w14:textId="77777777" w:rsidR="002F0DA9" w:rsidRDefault="002F0DA9">
      <w:pPr>
        <w:tabs>
          <w:tab w:val="left" w:pos="1152"/>
        </w:tabs>
        <w:spacing w:after="0" w:line="240" w:lineRule="auto"/>
        <w:jc w:val="both"/>
        <w:rPr>
          <w:rFonts w:ascii="Times New Roman" w:eastAsia="Times New Roman" w:hAnsi="Times New Roman" w:cs="Times New Roman"/>
        </w:rPr>
      </w:pPr>
    </w:p>
    <w:p w14:paraId="697F9F09" w14:textId="6D3CEAF0" w:rsidR="002F0DA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Table 3 </w:t>
      </w:r>
      <w:r>
        <w:rPr>
          <w:rFonts w:ascii="Times New Roman" w:eastAsia="Times New Roman" w:hAnsi="Times New Roman" w:cs="Times New Roman"/>
          <w:color w:val="000000"/>
        </w:rPr>
        <w:t>Predicted Pharmacokinetic Properties of Selected Lead Compounds</w:t>
      </w:r>
    </w:p>
    <w:p w14:paraId="6005179A" w14:textId="77777777" w:rsidR="002F0DA9" w:rsidRDefault="002F0DA9">
      <w:pPr>
        <w:pBdr>
          <w:top w:val="nil"/>
          <w:left w:val="nil"/>
          <w:bottom w:val="nil"/>
          <w:right w:val="nil"/>
          <w:between w:val="nil"/>
        </w:pBdr>
        <w:spacing w:after="0" w:line="240" w:lineRule="auto"/>
        <w:rPr>
          <w:rFonts w:ascii="Times New Roman" w:eastAsia="Times New Roman" w:hAnsi="Times New Roman" w:cs="Times New Roman"/>
          <w:b/>
          <w:bCs/>
          <w:color w:val="000000"/>
        </w:rPr>
      </w:pPr>
    </w:p>
    <w:tbl>
      <w:tblPr>
        <w:tblStyle w:val="a1"/>
        <w:tblW w:w="9493"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562"/>
        <w:gridCol w:w="1573"/>
        <w:gridCol w:w="1377"/>
        <w:gridCol w:w="1724"/>
        <w:gridCol w:w="1323"/>
        <w:gridCol w:w="1210"/>
        <w:gridCol w:w="1724"/>
      </w:tblGrid>
      <w:tr w:rsidR="002F0DA9" w14:paraId="6E077F84" w14:textId="77777777">
        <w:trPr>
          <w:trHeight w:val="1142"/>
          <w:jc w:val="center"/>
        </w:trPr>
        <w:tc>
          <w:tcPr>
            <w:tcW w:w="562" w:type="dxa"/>
            <w:tcBorders>
              <w:top w:val="single" w:sz="4" w:space="0" w:color="000000"/>
              <w:bottom w:val="single" w:sz="4" w:space="0" w:color="000000"/>
            </w:tcBorders>
            <w:vAlign w:val="center"/>
          </w:tcPr>
          <w:p w14:paraId="3E674809" w14:textId="77777777" w:rsidR="002F0DA9" w:rsidRDefault="002F0DA9">
            <w:pPr>
              <w:tabs>
                <w:tab w:val="right" w:pos="1061"/>
              </w:tabs>
              <w:ind w:left="-675" w:right="-12" w:firstLine="107"/>
              <w:jc w:val="center"/>
              <w:rPr>
                <w:rFonts w:ascii="Times New Roman" w:eastAsia="Times New Roman" w:hAnsi="Times New Roman" w:cs="Times New Roman"/>
                <w:b/>
                <w:bCs/>
              </w:rPr>
            </w:pPr>
          </w:p>
          <w:p w14:paraId="1B4359FD"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 N</w:t>
            </w:r>
          </w:p>
        </w:tc>
        <w:tc>
          <w:tcPr>
            <w:tcW w:w="1573" w:type="dxa"/>
            <w:tcBorders>
              <w:top w:val="single" w:sz="4" w:space="0" w:color="000000"/>
              <w:bottom w:val="single" w:sz="4" w:space="0" w:color="000000"/>
            </w:tcBorders>
            <w:vAlign w:val="center"/>
          </w:tcPr>
          <w:p w14:paraId="01DFF4CA" w14:textId="77777777" w:rsidR="002F0DA9" w:rsidRDefault="00000000">
            <w:pPr>
              <w:tabs>
                <w:tab w:val="right" w:pos="1061"/>
              </w:tabs>
              <w:jc w:val="center"/>
              <w:rPr>
                <w:rFonts w:ascii="Times New Roman" w:eastAsia="Times New Roman" w:hAnsi="Times New Roman" w:cs="Times New Roman"/>
                <w:b/>
                <w:bCs/>
              </w:rPr>
            </w:pPr>
            <w:r>
              <w:rPr>
                <w:rFonts w:ascii="Times New Roman" w:eastAsia="Times New Roman" w:hAnsi="Times New Roman" w:cs="Times New Roman"/>
                <w:b/>
                <w:bCs/>
              </w:rPr>
              <w:t>Compound   ID</w:t>
            </w:r>
          </w:p>
        </w:tc>
        <w:tc>
          <w:tcPr>
            <w:tcW w:w="1377" w:type="dxa"/>
            <w:tcBorders>
              <w:top w:val="single" w:sz="4" w:space="0" w:color="000000"/>
              <w:bottom w:val="single" w:sz="4" w:space="0" w:color="000000"/>
            </w:tcBorders>
            <w:vAlign w:val="center"/>
          </w:tcPr>
          <w:p w14:paraId="07BE8D81"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Human Intestinal Absorption</w:t>
            </w:r>
          </w:p>
        </w:tc>
        <w:tc>
          <w:tcPr>
            <w:tcW w:w="1724" w:type="dxa"/>
            <w:tcBorders>
              <w:top w:val="single" w:sz="4" w:space="0" w:color="000000"/>
              <w:bottom w:val="single" w:sz="4" w:space="0" w:color="000000"/>
            </w:tcBorders>
            <w:vAlign w:val="center"/>
          </w:tcPr>
          <w:p w14:paraId="3447301C"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P-Glycoprotein Inhibitor/Non-inhibitor</w:t>
            </w:r>
          </w:p>
        </w:tc>
        <w:tc>
          <w:tcPr>
            <w:tcW w:w="1323" w:type="dxa"/>
            <w:tcBorders>
              <w:top w:val="single" w:sz="4" w:space="0" w:color="000000"/>
              <w:bottom w:val="single" w:sz="4" w:space="0" w:color="000000"/>
            </w:tcBorders>
            <w:vAlign w:val="center"/>
          </w:tcPr>
          <w:p w14:paraId="2A0D6D04"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Blood-Brain Barrier</w:t>
            </w:r>
          </w:p>
        </w:tc>
        <w:tc>
          <w:tcPr>
            <w:tcW w:w="1210" w:type="dxa"/>
            <w:tcBorders>
              <w:top w:val="single" w:sz="4" w:space="0" w:color="000000"/>
              <w:bottom w:val="single" w:sz="4" w:space="0" w:color="000000"/>
            </w:tcBorders>
            <w:vAlign w:val="center"/>
          </w:tcPr>
          <w:p w14:paraId="601C0EA7"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CYP 1A2</w:t>
            </w:r>
          </w:p>
          <w:p w14:paraId="2F6AF6D8"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Substrate \non-substrate</w:t>
            </w:r>
          </w:p>
        </w:tc>
        <w:tc>
          <w:tcPr>
            <w:tcW w:w="1724" w:type="dxa"/>
            <w:tcBorders>
              <w:top w:val="single" w:sz="4" w:space="0" w:color="000000"/>
              <w:bottom w:val="single" w:sz="4" w:space="0" w:color="000000"/>
            </w:tcBorders>
            <w:vAlign w:val="center"/>
          </w:tcPr>
          <w:p w14:paraId="358C9A48"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CYP 2D6 Inhibitor/Non-inhibitor</w:t>
            </w:r>
          </w:p>
        </w:tc>
      </w:tr>
      <w:tr w:rsidR="002F0DA9" w14:paraId="0494257F" w14:textId="77777777">
        <w:trPr>
          <w:trHeight w:val="449"/>
          <w:jc w:val="center"/>
        </w:trPr>
        <w:tc>
          <w:tcPr>
            <w:tcW w:w="562" w:type="dxa"/>
            <w:tcBorders>
              <w:top w:val="single" w:sz="4" w:space="0" w:color="000000"/>
            </w:tcBorders>
            <w:vAlign w:val="center"/>
          </w:tcPr>
          <w:p w14:paraId="30B3D01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1573" w:type="dxa"/>
            <w:tcBorders>
              <w:top w:val="single" w:sz="4" w:space="0" w:color="000000"/>
            </w:tcBorders>
            <w:vAlign w:val="center"/>
          </w:tcPr>
          <w:p w14:paraId="7D437E0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FDB011010</w:t>
            </w:r>
          </w:p>
        </w:tc>
        <w:tc>
          <w:tcPr>
            <w:tcW w:w="1377" w:type="dxa"/>
            <w:tcBorders>
              <w:top w:val="single" w:sz="4" w:space="0" w:color="000000"/>
            </w:tcBorders>
            <w:vAlign w:val="center"/>
          </w:tcPr>
          <w:p w14:paraId="2147247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tcBorders>
              <w:top w:val="single" w:sz="4" w:space="0" w:color="000000"/>
            </w:tcBorders>
            <w:vAlign w:val="center"/>
          </w:tcPr>
          <w:p w14:paraId="414FCE1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tcBorders>
              <w:top w:val="single" w:sz="4" w:space="0" w:color="000000"/>
            </w:tcBorders>
            <w:vAlign w:val="center"/>
          </w:tcPr>
          <w:p w14:paraId="2DA30E4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tcBorders>
              <w:top w:val="single" w:sz="4" w:space="0" w:color="000000"/>
            </w:tcBorders>
            <w:vAlign w:val="center"/>
          </w:tcPr>
          <w:p w14:paraId="6368325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tcBorders>
              <w:top w:val="single" w:sz="4" w:space="0" w:color="000000"/>
            </w:tcBorders>
            <w:vAlign w:val="center"/>
          </w:tcPr>
          <w:p w14:paraId="2F5FAD9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F90517E" w14:textId="77777777">
        <w:trPr>
          <w:trHeight w:val="440"/>
          <w:jc w:val="center"/>
        </w:trPr>
        <w:tc>
          <w:tcPr>
            <w:tcW w:w="562" w:type="dxa"/>
            <w:vAlign w:val="center"/>
          </w:tcPr>
          <w:p w14:paraId="426F3B3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1573" w:type="dxa"/>
            <w:vAlign w:val="center"/>
          </w:tcPr>
          <w:p w14:paraId="403FDB7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FDB014150</w:t>
            </w:r>
          </w:p>
        </w:tc>
        <w:tc>
          <w:tcPr>
            <w:tcW w:w="1377" w:type="dxa"/>
            <w:vAlign w:val="center"/>
          </w:tcPr>
          <w:p w14:paraId="6CD425D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21BBDA3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3EAEF2E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58A964F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7593BB9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542CD4D6" w14:textId="77777777">
        <w:trPr>
          <w:trHeight w:val="431"/>
          <w:jc w:val="center"/>
        </w:trPr>
        <w:tc>
          <w:tcPr>
            <w:tcW w:w="562" w:type="dxa"/>
            <w:vAlign w:val="center"/>
          </w:tcPr>
          <w:p w14:paraId="1E932D1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c>
          <w:tcPr>
            <w:tcW w:w="1573" w:type="dxa"/>
            <w:vAlign w:val="center"/>
          </w:tcPr>
          <w:p w14:paraId="0F3658F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FDB019179</w:t>
            </w:r>
          </w:p>
        </w:tc>
        <w:tc>
          <w:tcPr>
            <w:tcW w:w="1377" w:type="dxa"/>
            <w:vAlign w:val="center"/>
          </w:tcPr>
          <w:p w14:paraId="32FF2A9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02117AD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73A21C0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2D1988B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479FAFE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6CF9ECEA" w14:textId="77777777">
        <w:trPr>
          <w:trHeight w:val="629"/>
          <w:jc w:val="center"/>
        </w:trPr>
        <w:tc>
          <w:tcPr>
            <w:tcW w:w="562" w:type="dxa"/>
            <w:vAlign w:val="center"/>
          </w:tcPr>
          <w:p w14:paraId="56EE095B"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4</w:t>
            </w:r>
          </w:p>
        </w:tc>
        <w:tc>
          <w:tcPr>
            <w:tcW w:w="1573" w:type="dxa"/>
            <w:vAlign w:val="center"/>
          </w:tcPr>
          <w:p w14:paraId="04E9CC51"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FDB020241</w:t>
            </w:r>
          </w:p>
        </w:tc>
        <w:tc>
          <w:tcPr>
            <w:tcW w:w="1377" w:type="dxa"/>
            <w:vAlign w:val="center"/>
          </w:tcPr>
          <w:p w14:paraId="184FF44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4E5A174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713B414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094415C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1403B31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BCCBCFD" w14:textId="77777777">
        <w:trPr>
          <w:trHeight w:val="620"/>
          <w:jc w:val="center"/>
        </w:trPr>
        <w:tc>
          <w:tcPr>
            <w:tcW w:w="562" w:type="dxa"/>
            <w:vAlign w:val="center"/>
          </w:tcPr>
          <w:p w14:paraId="4B02C75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1573" w:type="dxa"/>
            <w:vAlign w:val="center"/>
          </w:tcPr>
          <w:p w14:paraId="44A72C7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FDB021420</w:t>
            </w:r>
          </w:p>
        </w:tc>
        <w:tc>
          <w:tcPr>
            <w:tcW w:w="1377" w:type="dxa"/>
            <w:vAlign w:val="center"/>
          </w:tcPr>
          <w:p w14:paraId="5C6126A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161567B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4E39433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05D40CA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32F6A96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29775905" w14:textId="77777777">
        <w:trPr>
          <w:trHeight w:val="440"/>
          <w:jc w:val="center"/>
        </w:trPr>
        <w:tc>
          <w:tcPr>
            <w:tcW w:w="562" w:type="dxa"/>
            <w:vAlign w:val="center"/>
          </w:tcPr>
          <w:p w14:paraId="387B0C1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6</w:t>
            </w:r>
          </w:p>
        </w:tc>
        <w:tc>
          <w:tcPr>
            <w:tcW w:w="1573" w:type="dxa"/>
            <w:vAlign w:val="center"/>
          </w:tcPr>
          <w:p w14:paraId="638B30C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FDB020026</w:t>
            </w:r>
          </w:p>
        </w:tc>
        <w:tc>
          <w:tcPr>
            <w:tcW w:w="1377" w:type="dxa"/>
            <w:vAlign w:val="center"/>
          </w:tcPr>
          <w:p w14:paraId="6DDA65F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6E87306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5359317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1FCA9B4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3AB4143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2957681F" w14:textId="77777777">
        <w:trPr>
          <w:trHeight w:val="431"/>
          <w:jc w:val="center"/>
        </w:trPr>
        <w:tc>
          <w:tcPr>
            <w:tcW w:w="562" w:type="dxa"/>
            <w:vAlign w:val="center"/>
          </w:tcPr>
          <w:p w14:paraId="629ED7A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7</w:t>
            </w:r>
          </w:p>
        </w:tc>
        <w:tc>
          <w:tcPr>
            <w:tcW w:w="1573" w:type="dxa"/>
            <w:vAlign w:val="center"/>
          </w:tcPr>
          <w:p w14:paraId="02C3FC6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FDB020611</w:t>
            </w:r>
          </w:p>
        </w:tc>
        <w:tc>
          <w:tcPr>
            <w:tcW w:w="1377" w:type="dxa"/>
            <w:vAlign w:val="center"/>
          </w:tcPr>
          <w:p w14:paraId="33B6FA5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0DAEF6A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0C388E9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70C2828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711763A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74532E31" w14:textId="77777777">
        <w:trPr>
          <w:trHeight w:val="611"/>
          <w:jc w:val="center"/>
        </w:trPr>
        <w:tc>
          <w:tcPr>
            <w:tcW w:w="562" w:type="dxa"/>
            <w:vAlign w:val="center"/>
          </w:tcPr>
          <w:p w14:paraId="19422E6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8</w:t>
            </w:r>
          </w:p>
        </w:tc>
        <w:tc>
          <w:tcPr>
            <w:tcW w:w="1573" w:type="dxa"/>
            <w:vAlign w:val="center"/>
          </w:tcPr>
          <w:p w14:paraId="1AF9ECC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FDB010756</w:t>
            </w:r>
          </w:p>
        </w:tc>
        <w:tc>
          <w:tcPr>
            <w:tcW w:w="1377" w:type="dxa"/>
            <w:vAlign w:val="center"/>
          </w:tcPr>
          <w:p w14:paraId="00FE126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2E138C3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3EF6312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05C8AC7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7E8CA2E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6FB2DB9" w14:textId="77777777">
        <w:trPr>
          <w:trHeight w:val="620"/>
          <w:jc w:val="center"/>
        </w:trPr>
        <w:tc>
          <w:tcPr>
            <w:tcW w:w="562" w:type="dxa"/>
            <w:vAlign w:val="center"/>
          </w:tcPr>
          <w:p w14:paraId="362014B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9</w:t>
            </w:r>
          </w:p>
        </w:tc>
        <w:tc>
          <w:tcPr>
            <w:tcW w:w="1573" w:type="dxa"/>
            <w:vAlign w:val="center"/>
          </w:tcPr>
          <w:p w14:paraId="07C8C27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FDB020301</w:t>
            </w:r>
          </w:p>
        </w:tc>
        <w:tc>
          <w:tcPr>
            <w:tcW w:w="1377" w:type="dxa"/>
            <w:vAlign w:val="center"/>
          </w:tcPr>
          <w:p w14:paraId="3BD962B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1DABE5C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669A2BE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439404E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208C072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0A7D0422" w14:textId="77777777">
        <w:trPr>
          <w:trHeight w:val="719"/>
          <w:jc w:val="center"/>
        </w:trPr>
        <w:tc>
          <w:tcPr>
            <w:tcW w:w="562" w:type="dxa"/>
            <w:vAlign w:val="center"/>
          </w:tcPr>
          <w:p w14:paraId="5D15E1C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573" w:type="dxa"/>
            <w:vAlign w:val="center"/>
          </w:tcPr>
          <w:p w14:paraId="2B838BC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FDB015368</w:t>
            </w:r>
          </w:p>
        </w:tc>
        <w:tc>
          <w:tcPr>
            <w:tcW w:w="1377" w:type="dxa"/>
            <w:vAlign w:val="center"/>
          </w:tcPr>
          <w:p w14:paraId="7095134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22114C0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0C9F970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61715DC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55286A2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E4716AF" w14:textId="77777777">
        <w:trPr>
          <w:trHeight w:val="611"/>
          <w:jc w:val="center"/>
        </w:trPr>
        <w:tc>
          <w:tcPr>
            <w:tcW w:w="562" w:type="dxa"/>
            <w:vAlign w:val="center"/>
          </w:tcPr>
          <w:p w14:paraId="7914350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573" w:type="dxa"/>
            <w:vAlign w:val="center"/>
          </w:tcPr>
          <w:p w14:paraId="17438C5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FDB015356</w:t>
            </w:r>
          </w:p>
        </w:tc>
        <w:tc>
          <w:tcPr>
            <w:tcW w:w="1377" w:type="dxa"/>
            <w:vAlign w:val="center"/>
          </w:tcPr>
          <w:p w14:paraId="156A9E3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3644BD4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061E656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5725BA2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5D631C7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bl>
    <w:p w14:paraId="483E062C"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0E7FB495" w14:textId="7AA34D55" w:rsidR="002F0DA9" w:rsidRDefault="00000000">
      <w:pPr>
        <w:tabs>
          <w:tab w:val="left" w:pos="36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depicted in </w:t>
      </w:r>
      <w:r>
        <w:rPr>
          <w:rFonts w:ascii="Times New Roman" w:eastAsia="Times New Roman" w:hAnsi="Times New Roman" w:cs="Times New Roman"/>
          <w:b/>
          <w:bCs/>
        </w:rPr>
        <w:t>Table 4</w:t>
      </w:r>
      <w:r>
        <w:rPr>
          <w:rFonts w:ascii="Times New Roman" w:eastAsia="Times New Roman" w:hAnsi="Times New Roman" w:cs="Times New Roman"/>
        </w:rPr>
        <w:t xml:space="preserve">, all 11 selected compounds exhibited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transporter and toxicity profiles. All compounds were predicted to be non-inhibitors of organic cation transporter 2 (OCT2) and showed safe predictions in the AMES mutagenicity and carcinogenicity assessments. Furthermore, none of the selected compounds were predicted to exhibit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 channel-blocking activity, suggesting a low potential for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-associated cardiotoxicity. Collectively, the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safety profiles supported the selection of these 11 compounds, including FDB020301, for subsequent molecular docking and further computational analyses.</w:t>
      </w:r>
    </w:p>
    <w:p w14:paraId="543F6F80"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20A56442" w14:textId="798B39FF" w:rsidR="002F0DA9" w:rsidRDefault="00000000">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Table 4 </w:t>
      </w:r>
      <w:r>
        <w:rPr>
          <w:rFonts w:ascii="Times New Roman" w:eastAsia="Times New Roman" w:hAnsi="Times New Roman" w:cs="Times New Roman"/>
          <w:color w:val="000000"/>
        </w:rPr>
        <w:t>Predicted Toxicological and Transporter Profiles of Selected Lead Compounds</w:t>
      </w:r>
    </w:p>
    <w:p w14:paraId="0403FAE4"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tbl>
      <w:tblPr>
        <w:tblStyle w:val="a2"/>
        <w:tblW w:w="9026"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562"/>
        <w:gridCol w:w="1701"/>
        <w:gridCol w:w="2091"/>
        <w:gridCol w:w="1654"/>
        <w:gridCol w:w="1759"/>
        <w:gridCol w:w="1259"/>
      </w:tblGrid>
      <w:tr w:rsidR="002F0DA9" w14:paraId="4540A2BB" w14:textId="77777777">
        <w:trPr>
          <w:trHeight w:val="881"/>
          <w:jc w:val="center"/>
        </w:trPr>
        <w:tc>
          <w:tcPr>
            <w:tcW w:w="562" w:type="dxa"/>
            <w:tcBorders>
              <w:top w:val="single" w:sz="4" w:space="0" w:color="000000"/>
              <w:bottom w:val="single" w:sz="4" w:space="0" w:color="000000"/>
            </w:tcBorders>
            <w:vAlign w:val="center"/>
          </w:tcPr>
          <w:p w14:paraId="27BCB82C" w14:textId="77777777" w:rsidR="002F0DA9" w:rsidRDefault="002F0DA9">
            <w:pPr>
              <w:tabs>
                <w:tab w:val="right" w:pos="1061"/>
              </w:tabs>
              <w:ind w:left="-576" w:right="-12" w:hanging="52"/>
              <w:rPr>
                <w:rFonts w:ascii="Times New Roman" w:eastAsia="Times New Roman" w:hAnsi="Times New Roman" w:cs="Times New Roman"/>
                <w:b/>
                <w:bCs/>
              </w:rPr>
            </w:pPr>
          </w:p>
          <w:p w14:paraId="0DF2446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 N</w:t>
            </w:r>
          </w:p>
        </w:tc>
        <w:tc>
          <w:tcPr>
            <w:tcW w:w="1701" w:type="dxa"/>
            <w:tcBorders>
              <w:top w:val="single" w:sz="4" w:space="0" w:color="000000"/>
              <w:bottom w:val="single" w:sz="4" w:space="0" w:color="000000"/>
            </w:tcBorders>
            <w:vAlign w:val="center"/>
          </w:tcPr>
          <w:p w14:paraId="2237FEA3" w14:textId="77777777" w:rsidR="002F0DA9" w:rsidRDefault="00000000">
            <w:pPr>
              <w:tabs>
                <w:tab w:val="right" w:pos="1061"/>
              </w:tabs>
              <w:rPr>
                <w:rFonts w:ascii="Times New Roman" w:eastAsia="Times New Roman" w:hAnsi="Times New Roman" w:cs="Times New Roman"/>
                <w:b/>
                <w:bCs/>
              </w:rPr>
            </w:pPr>
            <w:r>
              <w:rPr>
                <w:rFonts w:ascii="Times New Roman" w:eastAsia="Times New Roman" w:hAnsi="Times New Roman" w:cs="Times New Roman"/>
                <w:b/>
                <w:bCs/>
              </w:rPr>
              <w:t>Compound ID</w:t>
            </w:r>
          </w:p>
        </w:tc>
        <w:tc>
          <w:tcPr>
            <w:tcW w:w="2091" w:type="dxa"/>
            <w:tcBorders>
              <w:top w:val="single" w:sz="4" w:space="0" w:color="000000"/>
              <w:bottom w:val="single" w:sz="4" w:space="0" w:color="000000"/>
            </w:tcBorders>
            <w:vAlign w:val="center"/>
          </w:tcPr>
          <w:p w14:paraId="5930826A"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Organic Cation Transporter 2</w:t>
            </w:r>
          </w:p>
        </w:tc>
        <w:tc>
          <w:tcPr>
            <w:tcW w:w="1654" w:type="dxa"/>
            <w:tcBorders>
              <w:top w:val="single" w:sz="4" w:space="0" w:color="000000"/>
              <w:bottom w:val="single" w:sz="4" w:space="0" w:color="000000"/>
            </w:tcBorders>
            <w:vAlign w:val="center"/>
          </w:tcPr>
          <w:p w14:paraId="3507F61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AMES Mutagenesis</w:t>
            </w:r>
          </w:p>
        </w:tc>
        <w:tc>
          <w:tcPr>
            <w:tcW w:w="1759" w:type="dxa"/>
            <w:tcBorders>
              <w:top w:val="single" w:sz="4" w:space="0" w:color="000000"/>
              <w:bottom w:val="single" w:sz="4" w:space="0" w:color="000000"/>
            </w:tcBorders>
            <w:vAlign w:val="center"/>
          </w:tcPr>
          <w:p w14:paraId="0D79E665"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Carcinogenesis</w:t>
            </w:r>
          </w:p>
        </w:tc>
        <w:tc>
          <w:tcPr>
            <w:tcW w:w="1259" w:type="dxa"/>
            <w:tcBorders>
              <w:top w:val="single" w:sz="4" w:space="0" w:color="000000"/>
              <w:bottom w:val="single" w:sz="4" w:space="0" w:color="000000"/>
            </w:tcBorders>
            <w:vAlign w:val="center"/>
          </w:tcPr>
          <w:p w14:paraId="18887015" w14:textId="77777777" w:rsidR="002F0DA9" w:rsidRDefault="0000000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hERG</w:t>
            </w:r>
            <w:proofErr w:type="spellEnd"/>
            <w:r>
              <w:rPr>
                <w:rFonts w:ascii="Times New Roman" w:eastAsia="Times New Roman" w:hAnsi="Times New Roman" w:cs="Times New Roman"/>
                <w:b/>
                <w:bCs/>
              </w:rPr>
              <w:t xml:space="preserve"> Blockers</w:t>
            </w:r>
          </w:p>
        </w:tc>
      </w:tr>
      <w:tr w:rsidR="002F0DA9" w14:paraId="209465BB" w14:textId="77777777">
        <w:trPr>
          <w:trHeight w:val="395"/>
          <w:jc w:val="center"/>
        </w:trPr>
        <w:tc>
          <w:tcPr>
            <w:tcW w:w="562" w:type="dxa"/>
            <w:tcBorders>
              <w:top w:val="single" w:sz="4" w:space="0" w:color="000000"/>
            </w:tcBorders>
            <w:vAlign w:val="center"/>
          </w:tcPr>
          <w:p w14:paraId="5BAFB64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1701" w:type="dxa"/>
            <w:tcBorders>
              <w:top w:val="single" w:sz="4" w:space="0" w:color="000000"/>
            </w:tcBorders>
            <w:vAlign w:val="center"/>
          </w:tcPr>
          <w:p w14:paraId="7EEF98A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FDB011010</w:t>
            </w:r>
          </w:p>
        </w:tc>
        <w:tc>
          <w:tcPr>
            <w:tcW w:w="2091" w:type="dxa"/>
            <w:tcBorders>
              <w:top w:val="single" w:sz="4" w:space="0" w:color="000000"/>
            </w:tcBorders>
            <w:vAlign w:val="center"/>
          </w:tcPr>
          <w:p w14:paraId="48C1267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tcBorders>
              <w:top w:val="single" w:sz="4" w:space="0" w:color="000000"/>
            </w:tcBorders>
            <w:vAlign w:val="center"/>
          </w:tcPr>
          <w:p w14:paraId="34EDD31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tcBorders>
              <w:top w:val="single" w:sz="4" w:space="0" w:color="000000"/>
            </w:tcBorders>
            <w:vAlign w:val="center"/>
          </w:tcPr>
          <w:p w14:paraId="22C7D8B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tcBorders>
              <w:top w:val="single" w:sz="4" w:space="0" w:color="000000"/>
            </w:tcBorders>
            <w:vAlign w:val="center"/>
          </w:tcPr>
          <w:p w14:paraId="67D2E47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77F88D64" w14:textId="77777777">
        <w:trPr>
          <w:trHeight w:val="431"/>
          <w:jc w:val="center"/>
        </w:trPr>
        <w:tc>
          <w:tcPr>
            <w:tcW w:w="562" w:type="dxa"/>
            <w:vAlign w:val="center"/>
          </w:tcPr>
          <w:p w14:paraId="780F73F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1701" w:type="dxa"/>
            <w:vAlign w:val="center"/>
          </w:tcPr>
          <w:p w14:paraId="03E1FF4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FDB014150</w:t>
            </w:r>
          </w:p>
        </w:tc>
        <w:tc>
          <w:tcPr>
            <w:tcW w:w="2091" w:type="dxa"/>
            <w:vAlign w:val="center"/>
          </w:tcPr>
          <w:p w14:paraId="100A907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0055315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5F52F06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0BDEA8A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39AAFFA5" w14:textId="77777777">
        <w:trPr>
          <w:trHeight w:val="368"/>
          <w:jc w:val="center"/>
        </w:trPr>
        <w:tc>
          <w:tcPr>
            <w:tcW w:w="562" w:type="dxa"/>
            <w:vAlign w:val="center"/>
          </w:tcPr>
          <w:p w14:paraId="1555322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c>
          <w:tcPr>
            <w:tcW w:w="1701" w:type="dxa"/>
            <w:vAlign w:val="center"/>
          </w:tcPr>
          <w:p w14:paraId="00721A0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FDB019179</w:t>
            </w:r>
          </w:p>
        </w:tc>
        <w:tc>
          <w:tcPr>
            <w:tcW w:w="2091" w:type="dxa"/>
            <w:vAlign w:val="center"/>
          </w:tcPr>
          <w:p w14:paraId="345E1F5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19E441E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64C18B0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6FFF8C0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56AD4CD1" w14:textId="77777777">
        <w:trPr>
          <w:trHeight w:val="440"/>
          <w:jc w:val="center"/>
        </w:trPr>
        <w:tc>
          <w:tcPr>
            <w:tcW w:w="562" w:type="dxa"/>
            <w:vAlign w:val="center"/>
          </w:tcPr>
          <w:p w14:paraId="701E2B64"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4</w:t>
            </w:r>
          </w:p>
        </w:tc>
        <w:tc>
          <w:tcPr>
            <w:tcW w:w="1701" w:type="dxa"/>
            <w:vAlign w:val="center"/>
          </w:tcPr>
          <w:p w14:paraId="50737BFC"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FDB020241</w:t>
            </w:r>
          </w:p>
        </w:tc>
        <w:tc>
          <w:tcPr>
            <w:tcW w:w="2091" w:type="dxa"/>
            <w:vAlign w:val="center"/>
          </w:tcPr>
          <w:p w14:paraId="796858A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331EAE6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3B1673D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6766328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18F1B7A5" w14:textId="77777777">
        <w:trPr>
          <w:trHeight w:val="350"/>
          <w:jc w:val="center"/>
        </w:trPr>
        <w:tc>
          <w:tcPr>
            <w:tcW w:w="562" w:type="dxa"/>
            <w:vAlign w:val="center"/>
          </w:tcPr>
          <w:p w14:paraId="5168DDB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701" w:type="dxa"/>
            <w:vAlign w:val="center"/>
          </w:tcPr>
          <w:p w14:paraId="3F0EB5F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FDB021420</w:t>
            </w:r>
          </w:p>
        </w:tc>
        <w:tc>
          <w:tcPr>
            <w:tcW w:w="2091" w:type="dxa"/>
            <w:vAlign w:val="center"/>
          </w:tcPr>
          <w:p w14:paraId="32684BB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662E0DD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0FD5C0D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1653690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40FF48A9" w14:textId="77777777">
        <w:trPr>
          <w:trHeight w:val="350"/>
          <w:jc w:val="center"/>
        </w:trPr>
        <w:tc>
          <w:tcPr>
            <w:tcW w:w="562" w:type="dxa"/>
            <w:vAlign w:val="center"/>
          </w:tcPr>
          <w:p w14:paraId="0C1EF6F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6</w:t>
            </w:r>
          </w:p>
        </w:tc>
        <w:tc>
          <w:tcPr>
            <w:tcW w:w="1701" w:type="dxa"/>
            <w:vAlign w:val="center"/>
          </w:tcPr>
          <w:p w14:paraId="1AF4C97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FDB020026</w:t>
            </w:r>
          </w:p>
        </w:tc>
        <w:tc>
          <w:tcPr>
            <w:tcW w:w="2091" w:type="dxa"/>
            <w:vAlign w:val="center"/>
          </w:tcPr>
          <w:p w14:paraId="3BE146A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4C61250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45D650A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49E067E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0D194CBE" w14:textId="77777777">
        <w:trPr>
          <w:trHeight w:val="440"/>
          <w:jc w:val="center"/>
        </w:trPr>
        <w:tc>
          <w:tcPr>
            <w:tcW w:w="562" w:type="dxa"/>
            <w:vAlign w:val="center"/>
          </w:tcPr>
          <w:p w14:paraId="1C934E4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7</w:t>
            </w:r>
          </w:p>
        </w:tc>
        <w:tc>
          <w:tcPr>
            <w:tcW w:w="1701" w:type="dxa"/>
            <w:vAlign w:val="center"/>
          </w:tcPr>
          <w:p w14:paraId="5A2E5C7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FDB020611</w:t>
            </w:r>
          </w:p>
        </w:tc>
        <w:tc>
          <w:tcPr>
            <w:tcW w:w="2091" w:type="dxa"/>
            <w:vAlign w:val="center"/>
          </w:tcPr>
          <w:p w14:paraId="3F9F4D2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5D5FA2E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38F9CB5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61FB9F4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65B9C7FE" w14:textId="77777777">
        <w:trPr>
          <w:trHeight w:val="431"/>
          <w:jc w:val="center"/>
        </w:trPr>
        <w:tc>
          <w:tcPr>
            <w:tcW w:w="562" w:type="dxa"/>
            <w:vAlign w:val="center"/>
          </w:tcPr>
          <w:p w14:paraId="1EA1DD7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8</w:t>
            </w:r>
          </w:p>
        </w:tc>
        <w:tc>
          <w:tcPr>
            <w:tcW w:w="1701" w:type="dxa"/>
            <w:vAlign w:val="center"/>
          </w:tcPr>
          <w:p w14:paraId="42BA83F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FDB010756</w:t>
            </w:r>
          </w:p>
        </w:tc>
        <w:tc>
          <w:tcPr>
            <w:tcW w:w="2091" w:type="dxa"/>
            <w:vAlign w:val="center"/>
          </w:tcPr>
          <w:p w14:paraId="08654AC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30F1DEE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4A000E8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7F39C14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302B4371" w14:textId="77777777">
        <w:trPr>
          <w:trHeight w:val="368"/>
          <w:jc w:val="center"/>
        </w:trPr>
        <w:tc>
          <w:tcPr>
            <w:tcW w:w="562" w:type="dxa"/>
            <w:vAlign w:val="center"/>
          </w:tcPr>
          <w:p w14:paraId="233A427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9</w:t>
            </w:r>
          </w:p>
        </w:tc>
        <w:tc>
          <w:tcPr>
            <w:tcW w:w="1701" w:type="dxa"/>
            <w:vAlign w:val="center"/>
          </w:tcPr>
          <w:p w14:paraId="0D14143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FDB020301</w:t>
            </w:r>
          </w:p>
        </w:tc>
        <w:tc>
          <w:tcPr>
            <w:tcW w:w="2091" w:type="dxa"/>
            <w:vAlign w:val="center"/>
          </w:tcPr>
          <w:p w14:paraId="56574A2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6DC5B14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542E160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0710F24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56E769D6" w14:textId="77777777">
        <w:trPr>
          <w:trHeight w:val="422"/>
          <w:jc w:val="center"/>
        </w:trPr>
        <w:tc>
          <w:tcPr>
            <w:tcW w:w="562" w:type="dxa"/>
            <w:vAlign w:val="center"/>
          </w:tcPr>
          <w:p w14:paraId="06C721F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701" w:type="dxa"/>
            <w:vAlign w:val="center"/>
          </w:tcPr>
          <w:p w14:paraId="206FBBE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FDB015368</w:t>
            </w:r>
          </w:p>
        </w:tc>
        <w:tc>
          <w:tcPr>
            <w:tcW w:w="2091" w:type="dxa"/>
            <w:vAlign w:val="center"/>
          </w:tcPr>
          <w:p w14:paraId="79877FD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5E3FC0B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4ED1A22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5B473C7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64D277A4" w14:textId="77777777">
        <w:trPr>
          <w:trHeight w:val="440"/>
          <w:jc w:val="center"/>
        </w:trPr>
        <w:tc>
          <w:tcPr>
            <w:tcW w:w="562" w:type="dxa"/>
            <w:vAlign w:val="center"/>
          </w:tcPr>
          <w:p w14:paraId="06D410F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701" w:type="dxa"/>
            <w:vAlign w:val="center"/>
          </w:tcPr>
          <w:p w14:paraId="109B552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FDB015356</w:t>
            </w:r>
          </w:p>
        </w:tc>
        <w:tc>
          <w:tcPr>
            <w:tcW w:w="2091" w:type="dxa"/>
            <w:vAlign w:val="center"/>
          </w:tcPr>
          <w:p w14:paraId="321EA45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5C92878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7C66002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7022097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bl>
    <w:p w14:paraId="7944C530"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7D816861" w14:textId="77777777" w:rsidR="001B3242" w:rsidRDefault="001B3242">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36A65012" w14:textId="77777777" w:rsidR="001B3242" w:rsidRDefault="001B3242">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21339B25" w14:textId="77777777" w:rsidR="001B3242" w:rsidRDefault="001B3242">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5E4DB0E1" w14:textId="77777777" w:rsidR="002F0DA9" w:rsidRPr="00A076F9" w:rsidRDefault="00000000" w:rsidP="00A3200E">
      <w:pPr>
        <w:numPr>
          <w:ilvl w:val="2"/>
          <w:numId w:val="12"/>
        </w:num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b/>
          <w:bCs/>
          <w:color w:val="000000"/>
        </w:rPr>
      </w:pPr>
      <w:r w:rsidRPr="00A076F9">
        <w:rPr>
          <w:rFonts w:ascii="Times New Roman" w:eastAsia="Times New Roman" w:hAnsi="Times New Roman" w:cs="Times New Roman"/>
          <w:b/>
          <w:bCs/>
          <w:color w:val="000000"/>
        </w:rPr>
        <w:lastRenderedPageBreak/>
        <w:t>Molecular Docking</w:t>
      </w:r>
      <w:r w:rsidRPr="00A076F9">
        <w:rPr>
          <w:rFonts w:ascii="Times New Roman" w:eastAsia="Times New Roman" w:hAnsi="Times New Roman" w:cs="Times New Roman"/>
          <w:color w:val="000000"/>
        </w:rPr>
        <w:t xml:space="preserve"> </w:t>
      </w:r>
      <w:r w:rsidRPr="00A076F9">
        <w:rPr>
          <w:rFonts w:ascii="Times New Roman" w:eastAsia="Times New Roman" w:hAnsi="Times New Roman" w:cs="Times New Roman"/>
          <w:b/>
          <w:bCs/>
          <w:color w:val="000000"/>
        </w:rPr>
        <w:t>Analysis</w:t>
      </w:r>
    </w:p>
    <w:p w14:paraId="65879E0C" w14:textId="77777777" w:rsidR="002F0DA9" w:rsidRDefault="002F0DA9">
      <w:pPr>
        <w:pBdr>
          <w:top w:val="nil"/>
          <w:left w:val="nil"/>
          <w:bottom w:val="nil"/>
          <w:right w:val="nil"/>
          <w:between w:val="nil"/>
        </w:pBdr>
        <w:tabs>
          <w:tab w:val="left" w:pos="1152"/>
        </w:tabs>
        <w:spacing w:after="0" w:line="240" w:lineRule="auto"/>
        <w:ind w:left="1170"/>
        <w:jc w:val="both"/>
        <w:rPr>
          <w:rFonts w:ascii="Times New Roman" w:eastAsia="Times New Roman" w:hAnsi="Times New Roman" w:cs="Times New Roman"/>
          <w:b/>
          <w:bCs/>
          <w:color w:val="000000"/>
        </w:rPr>
      </w:pPr>
    </w:p>
    <w:p w14:paraId="1EC72B4C" w14:textId="65DABFAC"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Molecular docking studies were carried out to assess the binding affinity and binding pattern of the 11 lead molecules in the binding site of the CCR5 receptor (PDB ID: 4MBS). All the shortlisted molecules showed good binding with the receptor, having docking energy values between −7.1 and −11.4 kcal/mol, suggesting successful formation of the protein-ligand complex. These findings were then compared with the FDA-approved CCR5 inhibitor Maraviroc, whose binding energy value was −10.5 kcal/mol (</w:t>
      </w:r>
      <w:r>
        <w:rPr>
          <w:rFonts w:ascii="Times New Roman" w:eastAsia="Times New Roman" w:hAnsi="Times New Roman" w:cs="Times New Roman"/>
          <w:b/>
          <w:bCs/>
        </w:rPr>
        <w:t>Table 5</w:t>
      </w:r>
      <w:r>
        <w:rPr>
          <w:rFonts w:ascii="Times New Roman" w:eastAsia="Times New Roman" w:hAnsi="Times New Roman" w:cs="Times New Roman"/>
        </w:rPr>
        <w:t>).</w:t>
      </w:r>
    </w:p>
    <w:p w14:paraId="59D4BC87" w14:textId="77777777" w:rsidR="002F0DA9" w:rsidRDefault="002F0DA9">
      <w:pPr>
        <w:tabs>
          <w:tab w:val="left" w:pos="1152"/>
        </w:tabs>
        <w:spacing w:after="0" w:line="240" w:lineRule="auto"/>
        <w:jc w:val="both"/>
        <w:rPr>
          <w:rFonts w:ascii="Times New Roman" w:eastAsia="Times New Roman" w:hAnsi="Times New Roman" w:cs="Times New Roman"/>
        </w:rPr>
      </w:pPr>
    </w:p>
    <w:p w14:paraId="5151708B" w14:textId="77777777" w:rsidR="002F0DA9" w:rsidRDefault="00000000">
      <w:pPr>
        <w:tabs>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Table 5</w:t>
      </w:r>
      <w:r>
        <w:rPr>
          <w:rFonts w:ascii="Times New Roman" w:eastAsia="Times New Roman" w:hAnsi="Times New Roman" w:cs="Times New Roman"/>
        </w:rPr>
        <w:t xml:space="preserve"> Molecular Docking Scores and Interaction Profiles with CCR5 Receptor</w:t>
      </w:r>
    </w:p>
    <w:p w14:paraId="3C5754BF" w14:textId="77777777" w:rsidR="002F0DA9" w:rsidRDefault="002F0DA9">
      <w:pPr>
        <w:tabs>
          <w:tab w:val="left" w:pos="1152"/>
        </w:tabs>
        <w:spacing w:after="0" w:line="240" w:lineRule="auto"/>
        <w:jc w:val="both"/>
        <w:rPr>
          <w:rFonts w:ascii="Times New Roman" w:eastAsia="Times New Roman" w:hAnsi="Times New Roman" w:cs="Times New Roman"/>
        </w:rPr>
      </w:pPr>
    </w:p>
    <w:tbl>
      <w:tblPr>
        <w:tblStyle w:val="a3"/>
        <w:tblW w:w="9026"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474"/>
        <w:gridCol w:w="1597"/>
        <w:gridCol w:w="1422"/>
        <w:gridCol w:w="1425"/>
        <w:gridCol w:w="1490"/>
        <w:gridCol w:w="2618"/>
      </w:tblGrid>
      <w:tr w:rsidR="002F0DA9" w14:paraId="686F054B" w14:textId="77777777">
        <w:trPr>
          <w:jc w:val="center"/>
        </w:trPr>
        <w:tc>
          <w:tcPr>
            <w:tcW w:w="474" w:type="dxa"/>
            <w:tcBorders>
              <w:top w:val="single" w:sz="4" w:space="0" w:color="000000"/>
              <w:bottom w:val="single" w:sz="4" w:space="0" w:color="000000"/>
            </w:tcBorders>
            <w:vAlign w:val="center"/>
          </w:tcPr>
          <w:p w14:paraId="7D5AEB77"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w:t>
            </w:r>
          </w:p>
        </w:tc>
        <w:tc>
          <w:tcPr>
            <w:tcW w:w="1597" w:type="dxa"/>
            <w:tcBorders>
              <w:top w:val="single" w:sz="4" w:space="0" w:color="000000"/>
              <w:bottom w:val="single" w:sz="4" w:space="0" w:color="000000"/>
            </w:tcBorders>
            <w:vAlign w:val="center"/>
          </w:tcPr>
          <w:p w14:paraId="24082A65"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Compound ID</w:t>
            </w:r>
          </w:p>
          <w:p w14:paraId="684F2966"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FooDB</w:t>
            </w:r>
          </w:p>
        </w:tc>
        <w:tc>
          <w:tcPr>
            <w:tcW w:w="1422" w:type="dxa"/>
            <w:tcBorders>
              <w:top w:val="single" w:sz="4" w:space="0" w:color="000000"/>
              <w:bottom w:val="single" w:sz="4" w:space="0" w:color="000000"/>
            </w:tcBorders>
            <w:vAlign w:val="center"/>
          </w:tcPr>
          <w:p w14:paraId="3FF41D8C"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Binding Energy (kcal/mol)</w:t>
            </w:r>
          </w:p>
        </w:tc>
        <w:tc>
          <w:tcPr>
            <w:tcW w:w="1425" w:type="dxa"/>
            <w:tcBorders>
              <w:top w:val="single" w:sz="4" w:space="0" w:color="000000"/>
              <w:bottom w:val="single" w:sz="4" w:space="0" w:color="000000"/>
            </w:tcBorders>
            <w:vAlign w:val="center"/>
          </w:tcPr>
          <w:p w14:paraId="131E687E"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Hydrogen bonds</w:t>
            </w:r>
          </w:p>
        </w:tc>
        <w:tc>
          <w:tcPr>
            <w:tcW w:w="1490" w:type="dxa"/>
            <w:tcBorders>
              <w:top w:val="single" w:sz="4" w:space="0" w:color="000000"/>
              <w:bottom w:val="single" w:sz="4" w:space="0" w:color="000000"/>
            </w:tcBorders>
            <w:vAlign w:val="center"/>
          </w:tcPr>
          <w:p w14:paraId="109B5B14"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Hydrogen Amino acids</w:t>
            </w:r>
          </w:p>
        </w:tc>
        <w:tc>
          <w:tcPr>
            <w:tcW w:w="2618" w:type="dxa"/>
            <w:tcBorders>
              <w:top w:val="single" w:sz="4" w:space="0" w:color="000000"/>
              <w:bottom w:val="single" w:sz="4" w:space="0" w:color="000000"/>
            </w:tcBorders>
            <w:vAlign w:val="center"/>
          </w:tcPr>
          <w:p w14:paraId="3301D5AC"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Other interactive amino acids</w:t>
            </w:r>
          </w:p>
        </w:tc>
      </w:tr>
      <w:tr w:rsidR="002F0DA9" w14:paraId="2B32B324" w14:textId="77777777">
        <w:trPr>
          <w:trHeight w:val="1187"/>
          <w:jc w:val="center"/>
        </w:trPr>
        <w:tc>
          <w:tcPr>
            <w:tcW w:w="474" w:type="dxa"/>
            <w:tcBorders>
              <w:top w:val="single" w:sz="4" w:space="0" w:color="000000"/>
            </w:tcBorders>
            <w:vAlign w:val="center"/>
          </w:tcPr>
          <w:p w14:paraId="062AF7F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7" w:type="dxa"/>
            <w:tcBorders>
              <w:top w:val="single" w:sz="4" w:space="0" w:color="000000"/>
            </w:tcBorders>
            <w:vAlign w:val="center"/>
          </w:tcPr>
          <w:p w14:paraId="3977CA3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FDB011010</w:t>
            </w:r>
          </w:p>
        </w:tc>
        <w:tc>
          <w:tcPr>
            <w:tcW w:w="1422" w:type="dxa"/>
            <w:tcBorders>
              <w:top w:val="single" w:sz="4" w:space="0" w:color="000000"/>
            </w:tcBorders>
            <w:vAlign w:val="center"/>
          </w:tcPr>
          <w:p w14:paraId="4396B4F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1425" w:type="dxa"/>
            <w:tcBorders>
              <w:top w:val="single" w:sz="4" w:space="0" w:color="000000"/>
            </w:tcBorders>
            <w:vAlign w:val="center"/>
          </w:tcPr>
          <w:p w14:paraId="07A95F0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tcBorders>
              <w:top w:val="single" w:sz="4" w:space="0" w:color="000000"/>
            </w:tcBorders>
            <w:vAlign w:val="center"/>
          </w:tcPr>
          <w:p w14:paraId="07AEFCE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w:t>
            </w:r>
          </w:p>
        </w:tc>
        <w:tc>
          <w:tcPr>
            <w:tcW w:w="2618" w:type="dxa"/>
            <w:tcBorders>
              <w:top w:val="single" w:sz="4" w:space="0" w:color="000000"/>
            </w:tcBorders>
            <w:vAlign w:val="center"/>
          </w:tcPr>
          <w:p w14:paraId="5F28618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TYR89, ALA90, TRP86, TYR108, THR284, MET287, GLU283</w:t>
            </w:r>
          </w:p>
        </w:tc>
      </w:tr>
      <w:tr w:rsidR="002F0DA9" w14:paraId="24D06936" w14:textId="77777777">
        <w:trPr>
          <w:trHeight w:val="2079"/>
          <w:jc w:val="center"/>
        </w:trPr>
        <w:tc>
          <w:tcPr>
            <w:tcW w:w="474" w:type="dxa"/>
            <w:vAlign w:val="center"/>
          </w:tcPr>
          <w:p w14:paraId="530F34E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7" w:type="dxa"/>
            <w:vAlign w:val="center"/>
          </w:tcPr>
          <w:p w14:paraId="096D976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FDB014150</w:t>
            </w:r>
          </w:p>
        </w:tc>
        <w:tc>
          <w:tcPr>
            <w:tcW w:w="1422" w:type="dxa"/>
            <w:vAlign w:val="center"/>
          </w:tcPr>
          <w:p w14:paraId="4C560C3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1425" w:type="dxa"/>
            <w:vAlign w:val="center"/>
          </w:tcPr>
          <w:p w14:paraId="1C1F132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F2EF7C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w:t>
            </w:r>
          </w:p>
        </w:tc>
        <w:tc>
          <w:tcPr>
            <w:tcW w:w="2618" w:type="dxa"/>
            <w:vAlign w:val="center"/>
          </w:tcPr>
          <w:p w14:paraId="77E4EFCC"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GLU283, TYR108, TRP86, MET287, LEU33, ALA29, LYS26, TYR89, GLN280, ALA90, CYS178, THR105, PHE109</w:t>
            </w:r>
          </w:p>
        </w:tc>
      </w:tr>
      <w:tr w:rsidR="002F0DA9" w14:paraId="60900D1F" w14:textId="77777777">
        <w:trPr>
          <w:trHeight w:val="1800"/>
          <w:jc w:val="center"/>
        </w:trPr>
        <w:tc>
          <w:tcPr>
            <w:tcW w:w="474" w:type="dxa"/>
            <w:vAlign w:val="center"/>
          </w:tcPr>
          <w:p w14:paraId="6A60F91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7" w:type="dxa"/>
            <w:vAlign w:val="center"/>
          </w:tcPr>
          <w:p w14:paraId="25408AE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FDB019179</w:t>
            </w:r>
          </w:p>
        </w:tc>
        <w:tc>
          <w:tcPr>
            <w:tcW w:w="1422" w:type="dxa"/>
            <w:vAlign w:val="center"/>
          </w:tcPr>
          <w:p w14:paraId="381C6A9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1425" w:type="dxa"/>
            <w:vAlign w:val="center"/>
          </w:tcPr>
          <w:p w14:paraId="3532446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476EE9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THR167</w:t>
            </w:r>
          </w:p>
        </w:tc>
        <w:tc>
          <w:tcPr>
            <w:tcW w:w="2618" w:type="dxa"/>
            <w:vAlign w:val="center"/>
          </w:tcPr>
          <w:p w14:paraId="41AB37F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 GLU283, TYR89, CYS178, TRP86, SER179, TYR108, THR105, PHE109, SER180, ASN163</w:t>
            </w:r>
          </w:p>
        </w:tc>
      </w:tr>
      <w:tr w:rsidR="002F0DA9" w14:paraId="7A3D4120" w14:textId="77777777">
        <w:trPr>
          <w:trHeight w:val="1620"/>
          <w:jc w:val="center"/>
        </w:trPr>
        <w:tc>
          <w:tcPr>
            <w:tcW w:w="474" w:type="dxa"/>
            <w:vAlign w:val="center"/>
          </w:tcPr>
          <w:p w14:paraId="1154562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97" w:type="dxa"/>
            <w:vAlign w:val="center"/>
          </w:tcPr>
          <w:p w14:paraId="6B79BB4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FDB020241</w:t>
            </w:r>
          </w:p>
        </w:tc>
        <w:tc>
          <w:tcPr>
            <w:tcW w:w="1422" w:type="dxa"/>
            <w:vAlign w:val="center"/>
          </w:tcPr>
          <w:p w14:paraId="3811A97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1425" w:type="dxa"/>
            <w:vAlign w:val="center"/>
          </w:tcPr>
          <w:p w14:paraId="189E459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0ADFACA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CYS178, THR167</w:t>
            </w:r>
          </w:p>
        </w:tc>
        <w:tc>
          <w:tcPr>
            <w:tcW w:w="2618" w:type="dxa"/>
            <w:vAlign w:val="center"/>
          </w:tcPr>
          <w:p w14:paraId="41EE9E5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GLU283, TRP86, TYR251, PHE109, THR105, SER179, TYR108, TYR89, TYR37, SER180</w:t>
            </w:r>
          </w:p>
        </w:tc>
      </w:tr>
      <w:tr w:rsidR="002F0DA9" w14:paraId="023BAA34" w14:textId="77777777">
        <w:trPr>
          <w:jc w:val="center"/>
        </w:trPr>
        <w:tc>
          <w:tcPr>
            <w:tcW w:w="474" w:type="dxa"/>
            <w:vAlign w:val="center"/>
          </w:tcPr>
          <w:p w14:paraId="1AF85A7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7" w:type="dxa"/>
            <w:vAlign w:val="center"/>
          </w:tcPr>
          <w:p w14:paraId="44B2779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FDB021420</w:t>
            </w:r>
          </w:p>
        </w:tc>
        <w:tc>
          <w:tcPr>
            <w:tcW w:w="1422" w:type="dxa"/>
            <w:vAlign w:val="center"/>
          </w:tcPr>
          <w:p w14:paraId="0DA2D43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w:t>
            </w:r>
          </w:p>
        </w:tc>
        <w:tc>
          <w:tcPr>
            <w:tcW w:w="1425" w:type="dxa"/>
            <w:vAlign w:val="center"/>
          </w:tcPr>
          <w:p w14:paraId="3AB32AB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0679F92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TYR108, TYR37</w:t>
            </w:r>
          </w:p>
        </w:tc>
        <w:tc>
          <w:tcPr>
            <w:tcW w:w="2618" w:type="dxa"/>
            <w:vAlign w:val="center"/>
          </w:tcPr>
          <w:p w14:paraId="10575A9B"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CYS178, TRP86, TYR89, GLN280, GLU283, MET287, ALA90, LEU33, ALA29, LYS26</w:t>
            </w:r>
          </w:p>
        </w:tc>
      </w:tr>
      <w:tr w:rsidR="002F0DA9" w14:paraId="39087A7D" w14:textId="77777777">
        <w:trPr>
          <w:trHeight w:val="1863"/>
          <w:jc w:val="center"/>
        </w:trPr>
        <w:tc>
          <w:tcPr>
            <w:tcW w:w="474" w:type="dxa"/>
            <w:vAlign w:val="center"/>
          </w:tcPr>
          <w:p w14:paraId="45FD41B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97" w:type="dxa"/>
            <w:vAlign w:val="center"/>
          </w:tcPr>
          <w:p w14:paraId="1FCEE57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FDB020026</w:t>
            </w:r>
          </w:p>
        </w:tc>
        <w:tc>
          <w:tcPr>
            <w:tcW w:w="1422" w:type="dxa"/>
            <w:vAlign w:val="center"/>
          </w:tcPr>
          <w:p w14:paraId="5F4705B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1425" w:type="dxa"/>
            <w:vAlign w:val="center"/>
          </w:tcPr>
          <w:p w14:paraId="42B3096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97BCE8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SER180</w:t>
            </w:r>
          </w:p>
        </w:tc>
        <w:tc>
          <w:tcPr>
            <w:tcW w:w="2618" w:type="dxa"/>
            <w:vAlign w:val="center"/>
          </w:tcPr>
          <w:p w14:paraId="4DAE769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THR105, GLN194, ASN163, PHE182, PHE109, TYR108, TRP86, GLU283, TYR251, MET279, MET287, TYR37</w:t>
            </w:r>
          </w:p>
        </w:tc>
      </w:tr>
      <w:tr w:rsidR="002F0DA9" w14:paraId="329C0654" w14:textId="77777777">
        <w:trPr>
          <w:trHeight w:val="1746"/>
          <w:jc w:val="center"/>
        </w:trPr>
        <w:tc>
          <w:tcPr>
            <w:tcW w:w="474" w:type="dxa"/>
            <w:vAlign w:val="center"/>
          </w:tcPr>
          <w:p w14:paraId="154FDC0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1597" w:type="dxa"/>
            <w:vAlign w:val="center"/>
          </w:tcPr>
          <w:p w14:paraId="33B8275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FDB020611</w:t>
            </w:r>
          </w:p>
        </w:tc>
        <w:tc>
          <w:tcPr>
            <w:tcW w:w="1422" w:type="dxa"/>
            <w:vAlign w:val="center"/>
          </w:tcPr>
          <w:p w14:paraId="3AC9528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c>
          <w:tcPr>
            <w:tcW w:w="1425" w:type="dxa"/>
            <w:vAlign w:val="center"/>
          </w:tcPr>
          <w:p w14:paraId="586FC16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525CA89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TYR251</w:t>
            </w:r>
          </w:p>
        </w:tc>
        <w:tc>
          <w:tcPr>
            <w:tcW w:w="2618" w:type="dxa"/>
            <w:vAlign w:val="center"/>
          </w:tcPr>
          <w:p w14:paraId="47BCD74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 MET287, TRP86, GLU283, TYR108, THR105, PHE109, ILE198, PHE113, PHE112, TRP248</w:t>
            </w:r>
          </w:p>
        </w:tc>
      </w:tr>
      <w:tr w:rsidR="002F0DA9" w14:paraId="0972981F" w14:textId="77777777">
        <w:trPr>
          <w:trHeight w:val="1791"/>
          <w:jc w:val="center"/>
        </w:trPr>
        <w:tc>
          <w:tcPr>
            <w:tcW w:w="474" w:type="dxa"/>
            <w:vAlign w:val="center"/>
          </w:tcPr>
          <w:p w14:paraId="26AB933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97" w:type="dxa"/>
            <w:vAlign w:val="center"/>
          </w:tcPr>
          <w:p w14:paraId="1F3A8E0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FDB010756</w:t>
            </w:r>
          </w:p>
        </w:tc>
        <w:tc>
          <w:tcPr>
            <w:tcW w:w="1422" w:type="dxa"/>
            <w:vAlign w:val="center"/>
          </w:tcPr>
          <w:p w14:paraId="24666F9E"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1425" w:type="dxa"/>
            <w:vAlign w:val="center"/>
          </w:tcPr>
          <w:p w14:paraId="08D4BD2B"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469DA0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w:t>
            </w:r>
          </w:p>
        </w:tc>
        <w:tc>
          <w:tcPr>
            <w:tcW w:w="2618" w:type="dxa"/>
            <w:vAlign w:val="center"/>
          </w:tcPr>
          <w:p w14:paraId="4BDD723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GLU283, TYR108, TRP86, CYS178, TYR89, GLN280, ALA90, ALA29, THR284, LEU33, MET287</w:t>
            </w:r>
          </w:p>
        </w:tc>
      </w:tr>
      <w:tr w:rsidR="002F0DA9" w14:paraId="3E108891" w14:textId="77777777">
        <w:trPr>
          <w:trHeight w:val="1584"/>
          <w:jc w:val="center"/>
        </w:trPr>
        <w:tc>
          <w:tcPr>
            <w:tcW w:w="474" w:type="dxa"/>
            <w:vAlign w:val="center"/>
          </w:tcPr>
          <w:p w14:paraId="0C429A5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97" w:type="dxa"/>
            <w:vAlign w:val="center"/>
          </w:tcPr>
          <w:p w14:paraId="722763C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FDB020301</w:t>
            </w:r>
          </w:p>
        </w:tc>
        <w:tc>
          <w:tcPr>
            <w:tcW w:w="1422" w:type="dxa"/>
            <w:vAlign w:val="center"/>
          </w:tcPr>
          <w:p w14:paraId="6C2BAC4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c>
          <w:tcPr>
            <w:tcW w:w="1425" w:type="dxa"/>
            <w:vAlign w:val="center"/>
          </w:tcPr>
          <w:p w14:paraId="627CD15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6977132C"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 GLN280</w:t>
            </w:r>
          </w:p>
        </w:tc>
        <w:tc>
          <w:tcPr>
            <w:tcW w:w="2618" w:type="dxa"/>
            <w:vAlign w:val="center"/>
          </w:tcPr>
          <w:p w14:paraId="18277DC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LYS26, ALA29, ALA90, LEU33, TYR89, GLU283, TRP86, PHE109, TYR108, THR105</w:t>
            </w:r>
          </w:p>
        </w:tc>
      </w:tr>
      <w:tr w:rsidR="002F0DA9" w14:paraId="5FD25E33" w14:textId="77777777">
        <w:trPr>
          <w:trHeight w:val="1458"/>
          <w:jc w:val="center"/>
        </w:trPr>
        <w:tc>
          <w:tcPr>
            <w:tcW w:w="474" w:type="dxa"/>
            <w:vAlign w:val="center"/>
          </w:tcPr>
          <w:p w14:paraId="1B53FDA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97" w:type="dxa"/>
            <w:vAlign w:val="center"/>
          </w:tcPr>
          <w:p w14:paraId="003643B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FDB015368</w:t>
            </w:r>
          </w:p>
        </w:tc>
        <w:tc>
          <w:tcPr>
            <w:tcW w:w="1422" w:type="dxa"/>
            <w:vAlign w:val="center"/>
          </w:tcPr>
          <w:p w14:paraId="3CCF78E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1425" w:type="dxa"/>
            <w:vAlign w:val="center"/>
          </w:tcPr>
          <w:p w14:paraId="7E5CFD3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506B3F6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THR105, GLU283</w:t>
            </w:r>
          </w:p>
        </w:tc>
        <w:tc>
          <w:tcPr>
            <w:tcW w:w="2618" w:type="dxa"/>
            <w:vAlign w:val="center"/>
          </w:tcPr>
          <w:p w14:paraId="3D6B7E2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PHE109, PHE112, ILE198, TYR251, SER180, SER179, THR167, TYR37, TRP86, TYR108</w:t>
            </w:r>
          </w:p>
        </w:tc>
      </w:tr>
      <w:tr w:rsidR="002F0DA9" w14:paraId="6692FB8F" w14:textId="77777777">
        <w:trPr>
          <w:trHeight w:val="2412"/>
          <w:jc w:val="center"/>
        </w:trPr>
        <w:tc>
          <w:tcPr>
            <w:tcW w:w="474" w:type="dxa"/>
            <w:vAlign w:val="center"/>
          </w:tcPr>
          <w:p w14:paraId="2474BCCC"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597" w:type="dxa"/>
            <w:vAlign w:val="center"/>
          </w:tcPr>
          <w:p w14:paraId="2D7B91A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FDB015356</w:t>
            </w:r>
          </w:p>
        </w:tc>
        <w:tc>
          <w:tcPr>
            <w:tcW w:w="1422" w:type="dxa"/>
            <w:vAlign w:val="center"/>
          </w:tcPr>
          <w:p w14:paraId="788FD90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1425" w:type="dxa"/>
            <w:vAlign w:val="center"/>
          </w:tcPr>
          <w:p w14:paraId="4186038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90" w:type="dxa"/>
            <w:vAlign w:val="center"/>
          </w:tcPr>
          <w:p w14:paraId="4D4293E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618" w:type="dxa"/>
            <w:vAlign w:val="center"/>
          </w:tcPr>
          <w:p w14:paraId="0E301B4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TRP248, TYR251, PHE112, ILE198, PHE109, GLU283, SER283, SER180, MET287, TRP86, TYR108, TYR37, TYR89, THR105, MET279</w:t>
            </w:r>
          </w:p>
        </w:tc>
      </w:tr>
      <w:tr w:rsidR="002F0DA9" w14:paraId="3B6A95E6" w14:textId="77777777">
        <w:trPr>
          <w:jc w:val="center"/>
        </w:trPr>
        <w:tc>
          <w:tcPr>
            <w:tcW w:w="474" w:type="dxa"/>
            <w:vAlign w:val="center"/>
          </w:tcPr>
          <w:p w14:paraId="2FC9807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597" w:type="dxa"/>
            <w:vAlign w:val="center"/>
          </w:tcPr>
          <w:p w14:paraId="6051C45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Maraviroc (FDA approved drug)</w:t>
            </w:r>
          </w:p>
        </w:tc>
        <w:tc>
          <w:tcPr>
            <w:tcW w:w="1422" w:type="dxa"/>
            <w:vAlign w:val="center"/>
          </w:tcPr>
          <w:p w14:paraId="3BE74F5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1425" w:type="dxa"/>
            <w:vAlign w:val="center"/>
          </w:tcPr>
          <w:p w14:paraId="33DCC7B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37E6163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TYR251</w:t>
            </w:r>
          </w:p>
        </w:tc>
        <w:tc>
          <w:tcPr>
            <w:tcW w:w="2618" w:type="dxa"/>
            <w:vAlign w:val="center"/>
          </w:tcPr>
          <w:p w14:paraId="10EEFCF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PHE112, ILE198, TRP248, TYR108, TRP86, TYR89, GLU283, TYR37, LEU33, ALA90, GLN280, THR284, MET279, PHE182, SER180, PHE109</w:t>
            </w:r>
          </w:p>
        </w:tc>
      </w:tr>
    </w:tbl>
    <w:p w14:paraId="0305650F" w14:textId="77777777" w:rsidR="002F0DA9" w:rsidRDefault="00000000">
      <w:pPr>
        <w:tabs>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3224FC" wp14:editId="31C1A699">
            <wp:extent cx="5731510" cy="249794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t="12276" b="10241"/>
                    <a:stretch>
                      <a:fillRect/>
                    </a:stretch>
                  </pic:blipFill>
                  <pic:spPr>
                    <a:xfrm>
                      <a:off x="0" y="0"/>
                      <a:ext cx="5731510" cy="2497942"/>
                    </a:xfrm>
                    <a:prstGeom prst="rect">
                      <a:avLst/>
                    </a:prstGeom>
                    <a:ln/>
                  </pic:spPr>
                </pic:pic>
              </a:graphicData>
            </a:graphic>
          </wp:inline>
        </w:drawing>
      </w:r>
    </w:p>
    <w:p w14:paraId="0102B563" w14:textId="77777777" w:rsidR="002F0DA9" w:rsidRDefault="002F0DA9">
      <w:pPr>
        <w:tabs>
          <w:tab w:val="left" w:pos="1152"/>
        </w:tabs>
        <w:spacing w:after="0" w:line="240" w:lineRule="auto"/>
        <w:jc w:val="both"/>
        <w:rPr>
          <w:rFonts w:ascii="Times New Roman" w:eastAsia="Times New Roman" w:hAnsi="Times New Roman" w:cs="Times New Roman"/>
        </w:rPr>
      </w:pPr>
    </w:p>
    <w:p w14:paraId="5FF54EA3" w14:textId="3BE58F1A" w:rsidR="002F0DA9" w:rsidRDefault="00000000">
      <w:pPr>
        <w:tabs>
          <w:tab w:val="left" w:pos="1152"/>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Fig. 5 </w:t>
      </w:r>
      <w:r>
        <w:rPr>
          <w:rFonts w:ascii="Times New Roman" w:eastAsia="Times New Roman" w:hAnsi="Times New Roman" w:cs="Times New Roman"/>
        </w:rPr>
        <w:t xml:space="preserve">3D surface representation and 2D visualization of molecular docking results   of FDB020301   with   Crystal   Structure   of   the   CCR5   Chemokine   Receptor </w:t>
      </w:r>
    </w:p>
    <w:p w14:paraId="60D6B27A" w14:textId="13F804D3" w:rsidR="002F0DA9" w:rsidRDefault="00000000">
      <w:pPr>
        <w:tabs>
          <w:tab w:val="left" w:pos="1152"/>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rPr>
        <w:t>(PDB ID 4MBS)</w:t>
      </w:r>
    </w:p>
    <w:p w14:paraId="2789D54D" w14:textId="77777777" w:rsidR="002F0DA9" w:rsidRDefault="002F0DA9">
      <w:pPr>
        <w:spacing w:after="0" w:line="240" w:lineRule="auto"/>
        <w:rPr>
          <w:rFonts w:ascii="Times New Roman" w:eastAsia="Times New Roman" w:hAnsi="Times New Roman" w:cs="Times New Roman"/>
          <w:b/>
          <w:bCs/>
        </w:rPr>
      </w:pPr>
    </w:p>
    <w:p w14:paraId="6DC8C2C9" w14:textId="77777777" w:rsidR="002F0DA9" w:rsidRDefault="00000000" w:rsidP="00293FE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Among the tested compounds, FDB020301 showed the highest binding affinity (−11.4 kcal/mol), exceeding that of the reference drug. It formed hydrogen bonds with TYR37 and GLN280, along with Pi-Anion and Pi-Pi interactions involving GLU283, TRP86, and TYR108. Additional hydrophobic interactions with TYR89, PHE109, ALA29, ALA90, and PHE109 contributed to its binding within the CCR5 pocket (</w:t>
      </w:r>
      <w:r>
        <w:rPr>
          <w:rFonts w:ascii="Times New Roman" w:eastAsia="Times New Roman" w:hAnsi="Times New Roman" w:cs="Times New Roman"/>
          <w:b/>
          <w:bCs/>
        </w:rPr>
        <w:t>Fig. 5</w:t>
      </w:r>
      <w:r>
        <w:rPr>
          <w:rFonts w:ascii="Times New Roman" w:eastAsia="Times New Roman" w:hAnsi="Times New Roman" w:cs="Times New Roman"/>
        </w:rPr>
        <w:t>). The overlap of key interacting residues with those involved in Maraviroc binding supports FDB020301 as a promising candidate for further CCR5 inhibitor investigation.</w:t>
      </w:r>
    </w:p>
    <w:p w14:paraId="49E594BA" w14:textId="77777777" w:rsidR="002F0DA9" w:rsidRDefault="002F0DA9">
      <w:pPr>
        <w:spacing w:after="0" w:line="240" w:lineRule="auto"/>
        <w:jc w:val="both"/>
        <w:rPr>
          <w:rFonts w:ascii="Times New Roman" w:eastAsia="Times New Roman" w:hAnsi="Times New Roman" w:cs="Times New Roman"/>
        </w:rPr>
      </w:pPr>
    </w:p>
    <w:p w14:paraId="07877938" w14:textId="77777777" w:rsidR="002F0DA9" w:rsidRDefault="00000000" w:rsidP="00A3200E">
      <w:pPr>
        <w:numPr>
          <w:ilvl w:val="1"/>
          <w:numId w:val="12"/>
        </w:num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Molecular Dynamic Simulation </w:t>
      </w:r>
    </w:p>
    <w:p w14:paraId="7341FE0E" w14:textId="77777777" w:rsidR="002F0DA9" w:rsidRDefault="002F0DA9">
      <w:pPr>
        <w:pBdr>
          <w:top w:val="nil"/>
          <w:left w:val="nil"/>
          <w:bottom w:val="nil"/>
          <w:right w:val="nil"/>
          <w:between w:val="nil"/>
        </w:pBdr>
        <w:tabs>
          <w:tab w:val="left" w:pos="1152"/>
        </w:tabs>
        <w:spacing w:after="0" w:line="240" w:lineRule="auto"/>
        <w:ind w:left="540"/>
        <w:jc w:val="both"/>
        <w:rPr>
          <w:rFonts w:ascii="Times New Roman" w:eastAsia="Times New Roman" w:hAnsi="Times New Roman" w:cs="Times New Roman"/>
          <w:color w:val="000000"/>
        </w:rPr>
      </w:pPr>
    </w:p>
    <w:p w14:paraId="45BC5F70" w14:textId="77777777" w:rsidR="002F0DA9" w:rsidRPr="00A076F9"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sidRPr="00A076F9">
        <w:rPr>
          <w:rFonts w:ascii="Times New Roman" w:eastAsia="Times New Roman" w:hAnsi="Times New Roman" w:cs="Times New Roman"/>
          <w:b/>
          <w:bCs/>
          <w:color w:val="000000"/>
        </w:rPr>
        <w:t>RMSD analysis</w:t>
      </w:r>
    </w:p>
    <w:p w14:paraId="66A62B5E" w14:textId="77777777" w:rsidR="002F0DA9" w:rsidRDefault="002F0DA9">
      <w:pPr>
        <w:spacing w:after="0" w:line="240" w:lineRule="auto"/>
        <w:jc w:val="both"/>
        <w:rPr>
          <w:rFonts w:ascii="Times New Roman" w:eastAsia="Times New Roman" w:hAnsi="Times New Roman" w:cs="Times New Roman"/>
        </w:rPr>
      </w:pPr>
    </w:p>
    <w:p w14:paraId="0FDAB3A1"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10 ns molecular dynamics (MD) simulation was performed using GROMACS 2023.2 to evaluate the dynamic stability of FDB020301 within the CCR5 binding pocket. The protein RMSD initially increased and subsequently stabilized within a defined range of 0.0005–0.3927 nm, with a mean value of 0.2884 ± 0.0414 nm. During the final 5 ns, the mean RMSD was 0.3176 nm, with the maximum deviation (0.3927 nm) observed at approximately 7.09 ns. The ligand RMSD ranged from 0.0005–0.4128 nm, with a mean of 0.2105 ± 0.0470 nm. A transient peak of 0.4128 nm occurred at 4.65 ns, followed by stabilization, with a mean RMSD of 0.2030 ± 0.0427 nm during the final 5 ns (</w:t>
      </w:r>
      <w:r>
        <w:rPr>
          <w:rFonts w:ascii="Times New Roman" w:eastAsia="Times New Roman" w:hAnsi="Times New Roman" w:cs="Times New Roman"/>
          <w:b/>
          <w:bCs/>
        </w:rPr>
        <w:t>Fig. 6</w:t>
      </w:r>
      <w:r>
        <w:rPr>
          <w:rFonts w:ascii="Times New Roman" w:eastAsia="Times New Roman" w:hAnsi="Times New Roman" w:cs="Times New Roman"/>
        </w:rPr>
        <w:t>). The protein and ligand RMSD profiles indicated a stable CCR5–FDB020301 complex throughout the simulation, with the transient ligand deviation likely reflecting local readjustment within the binding pocket.</w:t>
      </w:r>
    </w:p>
    <w:p w14:paraId="5429F257" w14:textId="77777777" w:rsidR="002F0DA9" w:rsidRDefault="002F0DA9">
      <w:pPr>
        <w:spacing w:after="0" w:line="240" w:lineRule="auto"/>
        <w:jc w:val="both"/>
        <w:rPr>
          <w:rFonts w:ascii="Times New Roman" w:eastAsia="Times New Roman" w:hAnsi="Times New Roman" w:cs="Times New Roman"/>
        </w:rPr>
      </w:pPr>
    </w:p>
    <w:p w14:paraId="6842DF0D" w14:textId="77777777" w:rsidR="002F0DA9" w:rsidRDefault="002F0DA9">
      <w:pPr>
        <w:spacing w:after="0" w:line="240" w:lineRule="auto"/>
        <w:jc w:val="both"/>
        <w:rPr>
          <w:rFonts w:ascii="Times New Roman" w:eastAsia="Times New Roman" w:hAnsi="Times New Roman" w:cs="Times New Roman"/>
        </w:rPr>
      </w:pPr>
    </w:p>
    <w:p w14:paraId="6873E1B1" w14:textId="77777777" w:rsidR="002F0DA9" w:rsidRDefault="002F0DA9">
      <w:pPr>
        <w:spacing w:after="0" w:line="240" w:lineRule="auto"/>
        <w:jc w:val="center"/>
        <w:rPr>
          <w:rFonts w:ascii="Times New Roman" w:eastAsia="Times New Roman" w:hAnsi="Times New Roman" w:cs="Times New Roman"/>
        </w:rPr>
      </w:pPr>
    </w:p>
    <w:p w14:paraId="40A639B0" w14:textId="77777777" w:rsidR="002F0DA9" w:rsidRDefault="002F0DA9">
      <w:pPr>
        <w:spacing w:after="0" w:line="240" w:lineRule="auto"/>
        <w:rPr>
          <w:rFonts w:ascii="Times New Roman" w:eastAsia="Times New Roman" w:hAnsi="Times New Roman" w:cs="Times New Roman"/>
          <w:b/>
          <w:bCs/>
        </w:rPr>
      </w:pPr>
    </w:p>
    <w:p w14:paraId="43FFEE7A" w14:textId="77777777" w:rsidR="002F0DA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6D210742" wp14:editId="27205A5A">
            <wp:extent cx="4249748" cy="303042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l="4143" t="12308" r="7643" b="6291"/>
                    <a:stretch>
                      <a:fillRect/>
                    </a:stretch>
                  </pic:blipFill>
                  <pic:spPr>
                    <a:xfrm>
                      <a:off x="0" y="0"/>
                      <a:ext cx="4249748" cy="3030424"/>
                    </a:xfrm>
                    <a:prstGeom prst="rect">
                      <a:avLst/>
                    </a:prstGeom>
                    <a:ln/>
                  </pic:spPr>
                </pic:pic>
              </a:graphicData>
            </a:graphic>
          </wp:inline>
        </w:drawing>
      </w:r>
    </w:p>
    <w:p w14:paraId="4C6C9A7B" w14:textId="77777777" w:rsidR="002F0DA9" w:rsidRDefault="002F0DA9">
      <w:pPr>
        <w:spacing w:after="0" w:line="240" w:lineRule="auto"/>
        <w:jc w:val="center"/>
        <w:rPr>
          <w:rFonts w:ascii="Times New Roman" w:eastAsia="Times New Roman" w:hAnsi="Times New Roman" w:cs="Times New Roman"/>
          <w:b/>
          <w:bCs/>
        </w:rPr>
      </w:pPr>
    </w:p>
    <w:p w14:paraId="7D6F4A8E" w14:textId="708F1355"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6</w:t>
      </w:r>
      <w:r>
        <w:rPr>
          <w:rFonts w:ascii="Times New Roman" w:eastAsia="Times New Roman" w:hAnsi="Times New Roman" w:cs="Times New Roman"/>
        </w:rPr>
        <w:t xml:space="preserve"> RMSD analysis of the CCR5 protein (block colour) and FDB020301 ligand (Red colour) demonstrating the dynamic stability of the CCR5–FDB020301 complex during the 10 ns molecular dynamics simulation</w:t>
      </w:r>
    </w:p>
    <w:p w14:paraId="318C1CAD" w14:textId="77777777" w:rsidR="002F0DA9" w:rsidRDefault="002F0DA9">
      <w:pPr>
        <w:spacing w:after="0" w:line="240" w:lineRule="auto"/>
        <w:jc w:val="both"/>
        <w:rPr>
          <w:rFonts w:ascii="Times New Roman" w:eastAsia="Times New Roman" w:hAnsi="Times New Roman" w:cs="Times New Roman"/>
          <w:b/>
          <w:bCs/>
        </w:rPr>
      </w:pPr>
    </w:p>
    <w:p w14:paraId="6734F2AF" w14:textId="77777777" w:rsidR="002F0DA9" w:rsidRPr="00A076F9"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sidRPr="00A076F9">
        <w:rPr>
          <w:rFonts w:ascii="Times New Roman" w:eastAsia="Times New Roman" w:hAnsi="Times New Roman" w:cs="Times New Roman"/>
          <w:b/>
          <w:bCs/>
          <w:color w:val="000000"/>
        </w:rPr>
        <w:t>RMSF Analysis</w:t>
      </w:r>
    </w:p>
    <w:p w14:paraId="754F1B9B" w14:textId="77777777" w:rsidR="002F0DA9" w:rsidRDefault="002F0DA9">
      <w:pPr>
        <w:spacing w:after="0" w:line="240" w:lineRule="auto"/>
        <w:jc w:val="both"/>
        <w:rPr>
          <w:rFonts w:ascii="Times New Roman" w:eastAsia="Times New Roman" w:hAnsi="Times New Roman" w:cs="Times New Roman"/>
          <w:b/>
          <w:bCs/>
        </w:rPr>
      </w:pPr>
    </w:p>
    <w:p w14:paraId="76E3090F"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Based on Cα RMSF, the mean RMSF value was 0.1446 ± 0.0673 nm, with an RMSF range of 0.0608-0.4065 nm (0.61-4.07 Å) (</w:t>
      </w:r>
      <w:r>
        <w:rPr>
          <w:rFonts w:ascii="Times New Roman" w:eastAsia="Times New Roman" w:hAnsi="Times New Roman" w:cs="Times New Roman"/>
          <w:b/>
          <w:bCs/>
        </w:rPr>
        <w:t>Fig. 7</w:t>
      </w:r>
      <w:r>
        <w:rPr>
          <w:rFonts w:ascii="Times New Roman" w:eastAsia="Times New Roman" w:hAnsi="Times New Roman" w:cs="Times New Roman"/>
        </w:rPr>
        <w:t>). There was a tendency for most residues to be relatively stable, but residues with high fluctuations occurred only in particular sites within CCR5, suggesting local flexibility without affecting the overall stability of the structure. It is apparent that the predefined residues in the ligand binding site are relatively stable in the 10 ns molecular dynamics simulation.</w:t>
      </w:r>
    </w:p>
    <w:p w14:paraId="7EDF791C" w14:textId="77777777" w:rsidR="002F0DA9" w:rsidRDefault="002F0DA9">
      <w:pPr>
        <w:spacing w:after="0" w:line="240" w:lineRule="auto"/>
        <w:jc w:val="both"/>
        <w:rPr>
          <w:rFonts w:ascii="Times New Roman" w:eastAsia="Times New Roman" w:hAnsi="Times New Roman" w:cs="Times New Roman"/>
        </w:rPr>
      </w:pPr>
    </w:p>
    <w:p w14:paraId="5E362054"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36ED6A" wp14:editId="193EB043">
            <wp:extent cx="3920964" cy="277300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l="3836" t="13103" r="7649" b="5890"/>
                    <a:stretch>
                      <a:fillRect/>
                    </a:stretch>
                  </pic:blipFill>
                  <pic:spPr>
                    <a:xfrm>
                      <a:off x="0" y="0"/>
                      <a:ext cx="3920964" cy="2773001"/>
                    </a:xfrm>
                    <a:prstGeom prst="rect">
                      <a:avLst/>
                    </a:prstGeom>
                    <a:ln/>
                  </pic:spPr>
                </pic:pic>
              </a:graphicData>
            </a:graphic>
          </wp:inline>
        </w:drawing>
      </w:r>
    </w:p>
    <w:p w14:paraId="5D832BC7" w14:textId="025CFBE5"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7</w:t>
      </w:r>
      <w:r>
        <w:rPr>
          <w:rFonts w:ascii="Times New Roman" w:eastAsia="Times New Roman" w:hAnsi="Times New Roman" w:cs="Times New Roman"/>
        </w:rPr>
        <w:t xml:space="preserve"> RMSF analysis of the CCR5 protein (Black colour) and FDB020301 ligand (Red colour) demonstrating the dynamic flexibility of the CCR5–FDB020301 complex during the 10 ns molecular dynamics simulation</w:t>
      </w:r>
    </w:p>
    <w:p w14:paraId="0C335567" w14:textId="77777777" w:rsidR="002F0DA9"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Radius of gyration</w:t>
      </w:r>
    </w:p>
    <w:p w14:paraId="285FF74F" w14:textId="77777777" w:rsidR="002F0DA9" w:rsidRDefault="002F0DA9">
      <w:pPr>
        <w:spacing w:after="0" w:line="240" w:lineRule="auto"/>
        <w:jc w:val="both"/>
        <w:rPr>
          <w:rFonts w:ascii="Times New Roman" w:eastAsia="Times New Roman" w:hAnsi="Times New Roman" w:cs="Times New Roman"/>
        </w:rPr>
      </w:pPr>
    </w:p>
    <w:p w14:paraId="049F4F98"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Radius of Gyration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analysis was conducted to evaluate the compactness and structural stability of the CCR5 receptor and its complex with FDB020301</w:t>
      </w:r>
      <w:r>
        <w:rPr>
          <w:rFonts w:ascii="Times New Roman" w:eastAsia="Times New Roman" w:hAnsi="Times New Roman" w:cs="Times New Roman"/>
          <w:b/>
          <w:bCs/>
          <w:color w:val="EE0000"/>
        </w:rPr>
        <w:t xml:space="preserve"> </w:t>
      </w:r>
      <w:r>
        <w:rPr>
          <w:rFonts w:ascii="Times New Roman" w:eastAsia="Times New Roman" w:hAnsi="Times New Roman" w:cs="Times New Roman"/>
        </w:rPr>
        <w:t xml:space="preserve">over the 10 ns molecular dynamics simulation. The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value represents the mass-weighted root mean square distance of atoms from their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of mass and serves as an indicator of the protein’s tertiary structure integrity during the simulation. The radius of gyration was almost constant during the whole 10 ns MD simulation with an average value of 2.5232 ± 0.0171 nm and a minimum-maximum range of 2.4561-2.5770 nm. Over the last 5 ns, the average radius of gyration was 2.5225 ± 0.0142 nm with minimum and maximum values of 2.4779 and 2.5678 nm, respectively (</w:t>
      </w:r>
      <w:r>
        <w:rPr>
          <w:rFonts w:ascii="Times New Roman" w:eastAsia="Times New Roman" w:hAnsi="Times New Roman" w:cs="Times New Roman"/>
          <w:b/>
          <w:bCs/>
        </w:rPr>
        <w:t>Fig. 8</w:t>
      </w:r>
      <w:r>
        <w:rPr>
          <w:rFonts w:ascii="Times New Roman" w:eastAsia="Times New Roman" w:hAnsi="Times New Roman" w:cs="Times New Roman"/>
        </w:rPr>
        <w:t>). It can be noted that there is a strong similarity between overall and last 5 ns average values of radius of gyration, indicating no significant alteration in the compactness of the receptor.</w:t>
      </w:r>
    </w:p>
    <w:p w14:paraId="6EBD2F0A" w14:textId="77777777" w:rsidR="002F0DA9" w:rsidRDefault="002F0DA9">
      <w:pPr>
        <w:spacing w:after="0" w:line="240" w:lineRule="auto"/>
        <w:ind w:firstLine="720"/>
        <w:jc w:val="both"/>
        <w:rPr>
          <w:rFonts w:ascii="Times New Roman" w:eastAsia="Times New Roman" w:hAnsi="Times New Roman" w:cs="Times New Roman"/>
        </w:rPr>
      </w:pPr>
    </w:p>
    <w:p w14:paraId="6AC29501"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FCA906" wp14:editId="3BED04E0">
            <wp:extent cx="3210921" cy="3561924"/>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l="3989" t="12904" r="39990" b="6675"/>
                    <a:stretch>
                      <a:fillRect/>
                    </a:stretch>
                  </pic:blipFill>
                  <pic:spPr>
                    <a:xfrm>
                      <a:off x="0" y="0"/>
                      <a:ext cx="3210921" cy="3561924"/>
                    </a:xfrm>
                    <a:prstGeom prst="rect">
                      <a:avLst/>
                    </a:prstGeom>
                    <a:ln/>
                  </pic:spPr>
                </pic:pic>
              </a:graphicData>
            </a:graphic>
          </wp:inline>
        </w:drawing>
      </w:r>
    </w:p>
    <w:p w14:paraId="45DB49AA" w14:textId="77777777" w:rsidR="002F0DA9" w:rsidRDefault="002F0DA9">
      <w:pPr>
        <w:spacing w:after="0" w:line="240" w:lineRule="auto"/>
        <w:jc w:val="center"/>
        <w:rPr>
          <w:rFonts w:ascii="Times New Roman" w:eastAsia="Times New Roman" w:hAnsi="Times New Roman" w:cs="Times New Roman"/>
          <w:b/>
          <w:bCs/>
        </w:rPr>
      </w:pPr>
    </w:p>
    <w:p w14:paraId="08A5D3BB" w14:textId="4D885621"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8</w:t>
      </w:r>
      <w:r>
        <w:rPr>
          <w:rFonts w:ascii="Times New Roman" w:eastAsia="Times New Roman" w:hAnsi="Times New Roman" w:cs="Times New Roman"/>
        </w:rPr>
        <w:t xml:space="preserve">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analysis of the CCR5 protein (Black colour) and FDB020301 ligand (Red colour) demonstrating the dynamic compactness of the CCR5–FDB020301 complex during the 10 ns molecular dynamics simulation</w:t>
      </w:r>
    </w:p>
    <w:p w14:paraId="5CB85FA9" w14:textId="77777777" w:rsidR="002F0DA9" w:rsidRDefault="002F0DA9">
      <w:pPr>
        <w:spacing w:after="0" w:line="240" w:lineRule="auto"/>
        <w:jc w:val="center"/>
        <w:rPr>
          <w:rFonts w:ascii="Times New Roman" w:eastAsia="Times New Roman" w:hAnsi="Times New Roman" w:cs="Times New Roman"/>
          <w:b/>
          <w:bCs/>
        </w:rPr>
      </w:pPr>
    </w:p>
    <w:p w14:paraId="283AAF1D" w14:textId="77777777" w:rsidR="002F0DA9"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Hydrogen bond analysis</w:t>
      </w:r>
    </w:p>
    <w:p w14:paraId="6E5CA168" w14:textId="77777777" w:rsidR="002F0DA9" w:rsidRDefault="002F0DA9">
      <w:pPr>
        <w:spacing w:after="0" w:line="240" w:lineRule="auto"/>
        <w:jc w:val="both"/>
        <w:rPr>
          <w:rFonts w:ascii="Times New Roman" w:eastAsia="Times New Roman" w:hAnsi="Times New Roman" w:cs="Times New Roman"/>
          <w:b/>
          <w:bCs/>
        </w:rPr>
      </w:pPr>
    </w:p>
    <w:p w14:paraId="72A9039F"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Analysis of hydrogen bonding was carried out to study the stability of polar interactions between CCR5 and FDB020301 during the molecular </w:t>
      </w:r>
      <w:proofErr w:type="gramStart"/>
      <w:r>
        <w:rPr>
          <w:rFonts w:ascii="Times New Roman" w:eastAsia="Times New Roman" w:hAnsi="Times New Roman" w:cs="Times New Roman"/>
        </w:rPr>
        <w:t>dynamics</w:t>
      </w:r>
      <w:proofErr w:type="gramEnd"/>
      <w:r>
        <w:rPr>
          <w:rFonts w:ascii="Times New Roman" w:eastAsia="Times New Roman" w:hAnsi="Times New Roman" w:cs="Times New Roman"/>
        </w:rPr>
        <w:t xml:space="preserve"> simulation. On average, there were 0.93 ± 0.48 hydrogen bonds between the complexes, with a range of 0 to 3 hydrogen bonds during the entire 10 ns time span. In the last 5 ns time, there were 0.86 ± 0.50 hydrogen bonds on average, with a range of 0 to 2 hydrogen bonds (</w:t>
      </w:r>
      <w:r>
        <w:rPr>
          <w:rFonts w:ascii="Times New Roman" w:eastAsia="Times New Roman" w:hAnsi="Times New Roman" w:cs="Times New Roman"/>
          <w:b/>
          <w:bCs/>
        </w:rPr>
        <w:t>Fig. 9</w:t>
      </w:r>
      <w:r>
        <w:rPr>
          <w:rFonts w:ascii="Times New Roman" w:eastAsia="Times New Roman" w:hAnsi="Times New Roman" w:cs="Times New Roman"/>
        </w:rPr>
        <w:t>). Thus, the stability of hydrogen bonds during the simulations suggests that polar interactions stabilized the complex.</w:t>
      </w:r>
    </w:p>
    <w:p w14:paraId="58FCD9E1" w14:textId="77777777" w:rsidR="002F0DA9" w:rsidRDefault="002F0DA9">
      <w:pPr>
        <w:spacing w:after="0" w:line="240" w:lineRule="auto"/>
        <w:jc w:val="both"/>
        <w:rPr>
          <w:rFonts w:ascii="Times New Roman" w:eastAsia="Times New Roman" w:hAnsi="Times New Roman" w:cs="Times New Roman"/>
        </w:rPr>
      </w:pPr>
    </w:p>
    <w:p w14:paraId="773F74F6" w14:textId="77777777" w:rsidR="002F0DA9" w:rsidRDefault="002F0DA9">
      <w:pPr>
        <w:spacing w:after="0" w:line="240" w:lineRule="auto"/>
        <w:jc w:val="right"/>
        <w:rPr>
          <w:rFonts w:ascii="Times New Roman" w:eastAsia="Times New Roman" w:hAnsi="Times New Roman" w:cs="Times New Roman"/>
        </w:rPr>
      </w:pPr>
    </w:p>
    <w:p w14:paraId="67F464EF" w14:textId="77777777" w:rsidR="00C5229E" w:rsidRDefault="00C5229E">
      <w:pPr>
        <w:spacing w:after="0" w:line="240" w:lineRule="auto"/>
        <w:jc w:val="right"/>
        <w:rPr>
          <w:rFonts w:ascii="Times New Roman" w:eastAsia="Times New Roman" w:hAnsi="Times New Roman" w:cs="Times New Roman"/>
        </w:rPr>
      </w:pPr>
    </w:p>
    <w:p w14:paraId="5876F49B" w14:textId="77777777" w:rsidR="002F0DA9" w:rsidRDefault="002F0DA9">
      <w:pPr>
        <w:spacing w:after="0" w:line="240" w:lineRule="auto"/>
        <w:jc w:val="right"/>
        <w:rPr>
          <w:rFonts w:ascii="Times New Roman" w:eastAsia="Times New Roman" w:hAnsi="Times New Roman" w:cs="Times New Roman"/>
        </w:rPr>
      </w:pPr>
    </w:p>
    <w:p w14:paraId="6692C63B" w14:textId="77777777" w:rsidR="002F0DA9" w:rsidRDefault="00000000">
      <w:pPr>
        <w:spacing w:after="0" w:line="240" w:lineRule="auto"/>
        <w:jc w:val="right"/>
        <w:rPr>
          <w:rFonts w:ascii="Times New Roman" w:eastAsia="Times New Roman" w:hAnsi="Times New Roman" w:cs="Times New Roman"/>
        </w:rPr>
      </w:pPr>
      <w:r>
        <w:rPr>
          <w:noProof/>
        </w:rPr>
        <w:lastRenderedPageBreak/>
        <w:drawing>
          <wp:anchor distT="0" distB="0" distL="114300" distR="114300" simplePos="0" relativeHeight="251658240" behindDoc="0" locked="0" layoutInCell="1" hidden="0" allowOverlap="1" wp14:anchorId="0EE0D9F9" wp14:editId="6316DBB4">
            <wp:simplePos x="0" y="0"/>
            <wp:positionH relativeFrom="column">
              <wp:posOffset>1449363</wp:posOffset>
            </wp:positionH>
            <wp:positionV relativeFrom="paragraph">
              <wp:posOffset>-150982</wp:posOffset>
            </wp:positionV>
            <wp:extent cx="2760345" cy="321691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l="6771" t="12919" r="40061" b="6918"/>
                    <a:stretch>
                      <a:fillRect/>
                    </a:stretch>
                  </pic:blipFill>
                  <pic:spPr>
                    <a:xfrm>
                      <a:off x="0" y="0"/>
                      <a:ext cx="2760345" cy="3216910"/>
                    </a:xfrm>
                    <a:prstGeom prst="rect">
                      <a:avLst/>
                    </a:prstGeom>
                    <a:ln/>
                  </pic:spPr>
                </pic:pic>
              </a:graphicData>
            </a:graphic>
          </wp:anchor>
        </w:drawing>
      </w:r>
    </w:p>
    <w:p w14:paraId="27CBC32A" w14:textId="77777777" w:rsidR="002F0DA9" w:rsidRDefault="002F0DA9">
      <w:pPr>
        <w:spacing w:after="0" w:line="240" w:lineRule="auto"/>
        <w:jc w:val="right"/>
        <w:rPr>
          <w:rFonts w:ascii="Times New Roman" w:eastAsia="Times New Roman" w:hAnsi="Times New Roman" w:cs="Times New Roman"/>
        </w:rPr>
      </w:pPr>
    </w:p>
    <w:p w14:paraId="4F0AF427" w14:textId="77777777" w:rsidR="002F0DA9" w:rsidRDefault="002F0DA9">
      <w:pPr>
        <w:spacing w:after="0" w:line="240" w:lineRule="auto"/>
        <w:jc w:val="right"/>
        <w:rPr>
          <w:rFonts w:ascii="Times New Roman" w:eastAsia="Times New Roman" w:hAnsi="Times New Roman" w:cs="Times New Roman"/>
        </w:rPr>
      </w:pPr>
    </w:p>
    <w:p w14:paraId="72456A76" w14:textId="77777777" w:rsidR="002F0DA9" w:rsidRDefault="002F0DA9">
      <w:pPr>
        <w:spacing w:after="0" w:line="240" w:lineRule="auto"/>
        <w:jc w:val="right"/>
        <w:rPr>
          <w:rFonts w:ascii="Times New Roman" w:eastAsia="Times New Roman" w:hAnsi="Times New Roman" w:cs="Times New Roman"/>
        </w:rPr>
      </w:pPr>
    </w:p>
    <w:p w14:paraId="6C121917" w14:textId="77777777" w:rsidR="002F0DA9" w:rsidRDefault="002F0DA9">
      <w:pPr>
        <w:spacing w:after="0" w:line="240" w:lineRule="auto"/>
        <w:jc w:val="right"/>
        <w:rPr>
          <w:rFonts w:ascii="Times New Roman" w:eastAsia="Times New Roman" w:hAnsi="Times New Roman" w:cs="Times New Roman"/>
        </w:rPr>
      </w:pPr>
    </w:p>
    <w:p w14:paraId="0D597AAC" w14:textId="77777777" w:rsidR="002F0DA9" w:rsidRDefault="002F0DA9">
      <w:pPr>
        <w:spacing w:after="0" w:line="240" w:lineRule="auto"/>
        <w:jc w:val="right"/>
        <w:rPr>
          <w:rFonts w:ascii="Times New Roman" w:eastAsia="Times New Roman" w:hAnsi="Times New Roman" w:cs="Times New Roman"/>
        </w:rPr>
      </w:pPr>
    </w:p>
    <w:p w14:paraId="3CC3E0F1" w14:textId="77777777" w:rsidR="002F0DA9" w:rsidRDefault="002F0DA9">
      <w:pPr>
        <w:spacing w:after="0" w:line="240" w:lineRule="auto"/>
        <w:jc w:val="right"/>
        <w:rPr>
          <w:rFonts w:ascii="Times New Roman" w:eastAsia="Times New Roman" w:hAnsi="Times New Roman" w:cs="Times New Roman"/>
        </w:rPr>
      </w:pPr>
    </w:p>
    <w:p w14:paraId="419949D4" w14:textId="77777777" w:rsidR="002F0DA9" w:rsidRDefault="002F0DA9">
      <w:pPr>
        <w:spacing w:after="0" w:line="240" w:lineRule="auto"/>
        <w:jc w:val="right"/>
        <w:rPr>
          <w:rFonts w:ascii="Times New Roman" w:eastAsia="Times New Roman" w:hAnsi="Times New Roman" w:cs="Times New Roman"/>
        </w:rPr>
      </w:pPr>
    </w:p>
    <w:p w14:paraId="30B22069" w14:textId="77777777" w:rsidR="002F0DA9" w:rsidRDefault="002F0DA9">
      <w:pPr>
        <w:spacing w:after="0" w:line="240" w:lineRule="auto"/>
        <w:jc w:val="right"/>
        <w:rPr>
          <w:rFonts w:ascii="Times New Roman" w:eastAsia="Times New Roman" w:hAnsi="Times New Roman" w:cs="Times New Roman"/>
        </w:rPr>
      </w:pPr>
    </w:p>
    <w:p w14:paraId="3C92202E" w14:textId="77777777" w:rsidR="002F0DA9" w:rsidRDefault="002F0DA9">
      <w:pPr>
        <w:spacing w:after="0" w:line="240" w:lineRule="auto"/>
        <w:jc w:val="right"/>
        <w:rPr>
          <w:rFonts w:ascii="Times New Roman" w:eastAsia="Times New Roman" w:hAnsi="Times New Roman" w:cs="Times New Roman"/>
        </w:rPr>
      </w:pPr>
    </w:p>
    <w:p w14:paraId="4CE95BDA" w14:textId="77777777" w:rsidR="002F0DA9" w:rsidRDefault="002F0DA9">
      <w:pPr>
        <w:spacing w:after="0" w:line="240" w:lineRule="auto"/>
        <w:jc w:val="right"/>
        <w:rPr>
          <w:rFonts w:ascii="Times New Roman" w:eastAsia="Times New Roman" w:hAnsi="Times New Roman" w:cs="Times New Roman"/>
        </w:rPr>
      </w:pPr>
    </w:p>
    <w:p w14:paraId="2F759D8D" w14:textId="77777777" w:rsidR="002F0DA9" w:rsidRDefault="002F0DA9">
      <w:pPr>
        <w:spacing w:after="0" w:line="240" w:lineRule="auto"/>
        <w:jc w:val="right"/>
        <w:rPr>
          <w:rFonts w:ascii="Times New Roman" w:eastAsia="Times New Roman" w:hAnsi="Times New Roman" w:cs="Times New Roman"/>
        </w:rPr>
      </w:pPr>
    </w:p>
    <w:p w14:paraId="4E29FE84" w14:textId="77777777" w:rsidR="002F0DA9" w:rsidRDefault="002F0DA9">
      <w:pPr>
        <w:spacing w:after="0" w:line="240" w:lineRule="auto"/>
        <w:jc w:val="right"/>
        <w:rPr>
          <w:rFonts w:ascii="Times New Roman" w:eastAsia="Times New Roman" w:hAnsi="Times New Roman" w:cs="Times New Roman"/>
        </w:rPr>
      </w:pPr>
    </w:p>
    <w:p w14:paraId="3C15F50E" w14:textId="77777777" w:rsidR="002F0DA9" w:rsidRDefault="002F0DA9">
      <w:pPr>
        <w:spacing w:after="0" w:line="240" w:lineRule="auto"/>
        <w:jc w:val="right"/>
        <w:rPr>
          <w:rFonts w:ascii="Times New Roman" w:eastAsia="Times New Roman" w:hAnsi="Times New Roman" w:cs="Times New Roman"/>
        </w:rPr>
      </w:pPr>
    </w:p>
    <w:p w14:paraId="3166F187" w14:textId="77777777" w:rsidR="002F0DA9" w:rsidRDefault="002F0DA9">
      <w:pPr>
        <w:spacing w:after="0" w:line="240" w:lineRule="auto"/>
        <w:jc w:val="right"/>
        <w:rPr>
          <w:rFonts w:ascii="Times New Roman" w:eastAsia="Times New Roman" w:hAnsi="Times New Roman" w:cs="Times New Roman"/>
        </w:rPr>
      </w:pPr>
    </w:p>
    <w:p w14:paraId="554CA0E8" w14:textId="77777777" w:rsidR="002F0DA9" w:rsidRDefault="002F0DA9">
      <w:pPr>
        <w:spacing w:after="0" w:line="240" w:lineRule="auto"/>
        <w:jc w:val="right"/>
        <w:rPr>
          <w:rFonts w:ascii="Times New Roman" w:eastAsia="Times New Roman" w:hAnsi="Times New Roman" w:cs="Times New Roman"/>
        </w:rPr>
      </w:pPr>
    </w:p>
    <w:p w14:paraId="77C5CE74" w14:textId="77777777" w:rsidR="002F0DA9" w:rsidRDefault="002F0DA9">
      <w:pPr>
        <w:spacing w:after="0" w:line="240" w:lineRule="auto"/>
        <w:jc w:val="right"/>
        <w:rPr>
          <w:rFonts w:ascii="Times New Roman" w:eastAsia="Times New Roman" w:hAnsi="Times New Roman" w:cs="Times New Roman"/>
        </w:rPr>
      </w:pPr>
    </w:p>
    <w:p w14:paraId="7A8E20BD" w14:textId="77777777" w:rsidR="002F0DA9" w:rsidRDefault="002F0DA9">
      <w:pPr>
        <w:spacing w:after="0" w:line="240" w:lineRule="auto"/>
        <w:jc w:val="right"/>
        <w:rPr>
          <w:rFonts w:ascii="Times New Roman" w:eastAsia="Times New Roman" w:hAnsi="Times New Roman" w:cs="Times New Roman"/>
        </w:rPr>
      </w:pPr>
    </w:p>
    <w:p w14:paraId="398AE261" w14:textId="1B2F4E40"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9</w:t>
      </w:r>
      <w:r>
        <w:rPr>
          <w:rFonts w:ascii="Times New Roman" w:eastAsia="Times New Roman" w:hAnsi="Times New Roman" w:cs="Times New Roman"/>
        </w:rPr>
        <w:t xml:space="preserve"> Hydrogen bonding occupancy of the protein ligand complex over the 10ns molecular dynamic simulation</w:t>
      </w:r>
    </w:p>
    <w:p w14:paraId="201B767C" w14:textId="77777777" w:rsidR="002F0DA9" w:rsidRDefault="002F0DA9">
      <w:pPr>
        <w:spacing w:after="0" w:line="240" w:lineRule="auto"/>
        <w:jc w:val="center"/>
        <w:rPr>
          <w:rFonts w:ascii="Times New Roman" w:eastAsia="Times New Roman" w:hAnsi="Times New Roman" w:cs="Times New Roman"/>
        </w:rPr>
      </w:pPr>
    </w:p>
    <w:p w14:paraId="589D4551" w14:textId="77777777" w:rsidR="002F0DA9"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SASA Analysis</w:t>
      </w:r>
    </w:p>
    <w:p w14:paraId="24791F33" w14:textId="77777777" w:rsidR="002F0DA9" w:rsidRDefault="002F0DA9">
      <w:pPr>
        <w:spacing w:after="0" w:line="240" w:lineRule="auto"/>
        <w:jc w:val="both"/>
        <w:rPr>
          <w:rFonts w:ascii="Times New Roman" w:eastAsia="Times New Roman" w:hAnsi="Times New Roman" w:cs="Times New Roman"/>
          <w:b/>
          <w:bCs/>
        </w:rPr>
      </w:pPr>
    </w:p>
    <w:p w14:paraId="55AEBB25"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Solvent-accessible surface area (SASA) is another key property which can be employed in the determination of solvent accessibility of a protein and analysis of changes in its structural compactness during molecular dynamics simulations. Typically, the lower SASA values correspond to smaller solvent exposure and indicate a more compact and structurally stable protein structure. In the current study, the CCR5 protein had a mean SASA of 195.050 nm² and a range of 185.877–208.597 nm² within the 10 ns MD run. For FDB020301, the mean SASA was 6.218 nm², while the complex formed by CCR5 and FDB020301 had a mean SASA of 193.989 nm² (184.027–207.564 nm²). The somewhat lower mean SASA value of the complex compared to that of the protein suggests a minor reduction in solvent exposure after ligand binding. Moreover, the estimated mean buried SASA of the interface of protein and ligand amounted to 7.279 nm² (72.79 Å²), implying efficient burial of the interface area (</w:t>
      </w:r>
      <w:r>
        <w:rPr>
          <w:rFonts w:ascii="Times New Roman" w:eastAsia="Times New Roman" w:hAnsi="Times New Roman" w:cs="Times New Roman"/>
          <w:b/>
          <w:bCs/>
        </w:rPr>
        <w:t>Fig. 10</w:t>
      </w:r>
      <w:r>
        <w:rPr>
          <w:rFonts w:ascii="Times New Roman" w:eastAsia="Times New Roman" w:hAnsi="Times New Roman" w:cs="Times New Roman"/>
        </w:rPr>
        <w:t>). Taken together, the moderate difference in SASA between the protein and complex indicates lack of significant expansion or disruption of CCR5 upon ligand binding.</w:t>
      </w:r>
    </w:p>
    <w:p w14:paraId="2B4E6F8E" w14:textId="77777777" w:rsidR="002F0DA9" w:rsidRDefault="002F0DA9">
      <w:pPr>
        <w:spacing w:after="0" w:line="240" w:lineRule="auto"/>
        <w:jc w:val="center"/>
        <w:rPr>
          <w:rFonts w:ascii="Times New Roman" w:eastAsia="Times New Roman" w:hAnsi="Times New Roman" w:cs="Times New Roman"/>
        </w:rPr>
      </w:pPr>
    </w:p>
    <w:p w14:paraId="7B1A70C0"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EF775B5" wp14:editId="766BA17A">
            <wp:extent cx="3287688" cy="3639479"/>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l="2561" t="12611" r="40764" b="6222"/>
                    <a:stretch>
                      <a:fillRect/>
                    </a:stretch>
                  </pic:blipFill>
                  <pic:spPr>
                    <a:xfrm>
                      <a:off x="0" y="0"/>
                      <a:ext cx="3287688" cy="3639479"/>
                    </a:xfrm>
                    <a:prstGeom prst="rect">
                      <a:avLst/>
                    </a:prstGeom>
                    <a:ln/>
                  </pic:spPr>
                </pic:pic>
              </a:graphicData>
            </a:graphic>
          </wp:inline>
        </w:drawing>
      </w:r>
    </w:p>
    <w:p w14:paraId="4064719B" w14:textId="593A293A"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10</w:t>
      </w:r>
      <w:r>
        <w:rPr>
          <w:rFonts w:ascii="Times New Roman" w:eastAsia="Times New Roman" w:hAnsi="Times New Roman" w:cs="Times New Roman"/>
        </w:rPr>
        <w:t xml:space="preserve"> SASA plots of CCR5 protein (</w:t>
      </w:r>
      <w:r w:rsidR="00C00114">
        <w:rPr>
          <w:rFonts w:ascii="Times New Roman" w:eastAsia="Times New Roman" w:hAnsi="Times New Roman" w:cs="Times New Roman"/>
        </w:rPr>
        <w:t xml:space="preserve">in </w:t>
      </w:r>
      <w:r>
        <w:rPr>
          <w:rFonts w:ascii="Times New Roman" w:eastAsia="Times New Roman" w:hAnsi="Times New Roman" w:cs="Times New Roman"/>
        </w:rPr>
        <w:t>black), CCR5 complex (</w:t>
      </w:r>
      <w:r w:rsidR="00C00114">
        <w:rPr>
          <w:rFonts w:ascii="Times New Roman" w:eastAsia="Times New Roman" w:hAnsi="Times New Roman" w:cs="Times New Roman"/>
        </w:rPr>
        <w:t xml:space="preserve">in </w:t>
      </w:r>
      <w:r>
        <w:rPr>
          <w:rFonts w:ascii="Times New Roman" w:eastAsia="Times New Roman" w:hAnsi="Times New Roman" w:cs="Times New Roman"/>
        </w:rPr>
        <w:t>red)</w:t>
      </w:r>
    </w:p>
    <w:p w14:paraId="68672AE3" w14:textId="77777777" w:rsidR="002F0DA9" w:rsidRDefault="002F0DA9">
      <w:pPr>
        <w:spacing w:after="0" w:line="240" w:lineRule="auto"/>
        <w:jc w:val="both"/>
        <w:rPr>
          <w:rFonts w:ascii="Times New Roman" w:eastAsia="Times New Roman" w:hAnsi="Times New Roman" w:cs="Times New Roman"/>
          <w:b/>
          <w:bCs/>
        </w:rPr>
      </w:pPr>
    </w:p>
    <w:p w14:paraId="58E52FAA" w14:textId="77777777" w:rsidR="002F0DA9"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Principal component analysis</w:t>
      </w:r>
    </w:p>
    <w:p w14:paraId="6B62677E" w14:textId="77777777" w:rsidR="002F0DA9" w:rsidRDefault="002F0DA9">
      <w:pPr>
        <w:spacing w:after="0" w:line="240" w:lineRule="auto"/>
        <w:jc w:val="both"/>
        <w:rPr>
          <w:rFonts w:ascii="Times New Roman" w:eastAsia="Times New Roman" w:hAnsi="Times New Roman" w:cs="Times New Roman"/>
          <w:b/>
          <w:bCs/>
        </w:rPr>
      </w:pPr>
    </w:p>
    <w:p w14:paraId="39294BB4"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principal component analysis (PCA) was used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main collective modes of motion of the protein-ligand complex during the 10 ns molecular dynamics simulation. According to the results of the covariance matrix analysis, the total variance was equal to 8.7984 nm², the variance of the first principal component (PC1) was 2.8796 nm² (32.73%), while the variance of the second principal component (PC2) was 1.7664 nm² (20.08%). Thus, the first two principal components explained 52.81% of the total variance, while the first three PC explained 64.94%, suggesting that a significant part of the overall conformational variability was captured by the principal modes at the very beginning of the calculation. Two-dimensional PCA plot of PC1 against PC2 shows the sampling of the corresponding conformational space by the trajectory of the complex, which occupied a few different but related regions of the structure rather than exhibited an unrestricted variability of the structures.</w:t>
      </w:r>
    </w:p>
    <w:p w14:paraId="004A06D8"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To obtain additional information on the energy distribution of the conformational states obtained by PCA, the free-energy landscape (FEL) for PC1 and PC2 was constructed. As seen from the plot, the FEL has several regions of low free energy, the lowest-energy conformational basin is located approximately around PC1 ≈ −4.5 and PC2 ≈ 1.4, with the other notable low energy region lying between PC1 ≈ −4.0 to −3.0 and PC2 ≈ 0–0.5. The studied conformational space extends roughly from −5.8 to 2.2 in PC1 and from −2.7 to 3.1 in PC2, with the relative free-energy range being 0–1.9 kcal/mol (</w:t>
      </w:r>
      <w:r>
        <w:rPr>
          <w:rFonts w:ascii="Times New Roman" w:eastAsia="Times New Roman" w:hAnsi="Times New Roman" w:cs="Times New Roman"/>
          <w:b/>
          <w:bCs/>
        </w:rPr>
        <w:t>Fig. 11</w:t>
      </w:r>
      <w:r>
        <w:rPr>
          <w:rFonts w:ascii="Times New Roman" w:eastAsia="Times New Roman" w:hAnsi="Times New Roman" w:cs="Times New Roman"/>
        </w:rPr>
        <w:t>). Therefore, the analysis of PCA combined with FEL suggests the presence of a few low-energy conformations sampled by the complex and thus its overall dynamical stability.</w:t>
      </w:r>
    </w:p>
    <w:p w14:paraId="32F546C4"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A1EC7EC" wp14:editId="29E8734A">
            <wp:extent cx="4768719" cy="357667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768719" cy="3576671"/>
                    </a:xfrm>
                    <a:prstGeom prst="rect">
                      <a:avLst/>
                    </a:prstGeom>
                    <a:ln/>
                  </pic:spPr>
                </pic:pic>
              </a:graphicData>
            </a:graphic>
          </wp:inline>
        </w:drawing>
      </w:r>
    </w:p>
    <w:p w14:paraId="06A88CD3" w14:textId="1555F1E8"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11</w:t>
      </w:r>
      <w:r>
        <w:rPr>
          <w:rFonts w:ascii="Times New Roman" w:eastAsia="Times New Roman" w:hAnsi="Times New Roman" w:cs="Times New Roman"/>
        </w:rPr>
        <w:t xml:space="preserve"> Principal component analysis (PCA) of CCR5 complex during 10ns molecular dynamics simulations</w:t>
      </w:r>
    </w:p>
    <w:p w14:paraId="0B2F1E52" w14:textId="77777777" w:rsidR="002F0DA9" w:rsidRDefault="002F0DA9">
      <w:pPr>
        <w:spacing w:after="0" w:line="240" w:lineRule="auto"/>
        <w:jc w:val="both"/>
        <w:rPr>
          <w:rFonts w:ascii="Times New Roman" w:eastAsia="Times New Roman" w:hAnsi="Times New Roman" w:cs="Times New Roman"/>
        </w:rPr>
      </w:pPr>
    </w:p>
    <w:p w14:paraId="29AAF4F3" w14:textId="77777777" w:rsidR="002F0DA9" w:rsidRPr="00C00114" w:rsidRDefault="00000000" w:rsidP="00A3200E">
      <w:pPr>
        <w:numPr>
          <w:ilvl w:val="2"/>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sidRPr="00C00114">
        <w:rPr>
          <w:rFonts w:ascii="Times New Roman" w:eastAsia="Times New Roman" w:hAnsi="Times New Roman" w:cs="Times New Roman"/>
          <w:b/>
          <w:bCs/>
          <w:color w:val="000000"/>
        </w:rPr>
        <w:t xml:space="preserve">MM/GBSA Binding free energy calculation </w:t>
      </w:r>
    </w:p>
    <w:p w14:paraId="1E83DADB" w14:textId="77777777" w:rsidR="002F0DA9" w:rsidRDefault="002F0DA9">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rPr>
      </w:pPr>
    </w:p>
    <w:p w14:paraId="436FCF76" w14:textId="77777777"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binding energetics of the HIV-1 CCR5–complex was examined further using the MM/GBSA method. This analysis used 501 frames taken from 10-nanosecond molecular dynamics run. The calculated binding free energy, </w:t>
      </w:r>
      <w:proofErr w:type="spellStart"/>
      <w:r>
        <w:rPr>
          <w:rFonts w:ascii="Times New Roman" w:eastAsia="Times New Roman" w:hAnsi="Times New Roman" w:cs="Times New Roman"/>
        </w:rPr>
        <w:t>ΔG_bind</w:t>
      </w:r>
      <w:proofErr w:type="spellEnd"/>
      <w:r>
        <w:rPr>
          <w:rFonts w:ascii="Times New Roman" w:eastAsia="Times New Roman" w:hAnsi="Times New Roman" w:cs="Times New Roman"/>
        </w:rPr>
        <w:t xml:space="preserve"> was −35.19 ± 2.94 kcal mol⁻¹ showing that binding is energetically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The gas-phase contribution, ΔG_GAS was −50.80 ± 5.51 kcal mol⁻¹ while the solvation contribution, ΔG_SOLV was +15.60 ± 3.86 kcal mol⁻¹. Looking at the parts van der Waals interactions gave the strongest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effect ΔVDW = −45.43 ± 2.81 kcal mol⁻¹. Electrostatic interactions were also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ΔEEL = −5.36 ± 4.77 kcal mol⁻¹ and nonpolar solvation helped, ΔESURF = −4.56 ± 0.39 kcal mol⁻¹. However, the polar-solvation term, ΔEGB = +20.16 ± 3.94 kcal mol⁻¹, worked against these interactions. Per-residue analysis showed that TRP86 contributed −5.76 ± 0.24 kcal mol⁻¹ TYR89 contributed −2.79 ± 0.29 kcal mol⁻¹ TYR108 contributed −1.98 ± 0.29 kcal mol⁻¹ TYR37 contributed −1.69 ± 0.22 kcal mol⁻¹ and ALA90 contributed −1.23 ± 0.17 kcal mol⁻¹. These residues are the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partners for the ligand. The energetic role of TRP86 matches the PLIP analysis, which found that TRP86 made contacts in 99.40 % of the simulation frames and π-stacking contacts in 22.95 % of the frames (</w:t>
      </w:r>
      <w:r>
        <w:rPr>
          <w:rFonts w:ascii="Times New Roman" w:eastAsia="Times New Roman" w:hAnsi="Times New Roman" w:cs="Times New Roman"/>
          <w:b/>
          <w:bCs/>
        </w:rPr>
        <w:t>Table 6</w:t>
      </w:r>
      <w:r>
        <w:rPr>
          <w:rFonts w:ascii="Times New Roman" w:eastAsia="Times New Roman" w:hAnsi="Times New Roman" w:cs="Times New Roman"/>
        </w:rPr>
        <w:t>). Likewise, TYR108, TYR89, TYR37 and THR105 kept PLIP contacts and gave good per-residue energies confirming their importance, in holding the ligand in place.</w:t>
      </w:r>
    </w:p>
    <w:p w14:paraId="3376BBC8" w14:textId="77777777" w:rsidR="002F0DA9" w:rsidRDefault="002F0DA9">
      <w:pPr>
        <w:spacing w:after="0" w:line="240" w:lineRule="auto"/>
        <w:jc w:val="both"/>
        <w:rPr>
          <w:rFonts w:ascii="Times New Roman" w:eastAsia="Times New Roman" w:hAnsi="Times New Roman" w:cs="Times New Roman"/>
        </w:rPr>
      </w:pPr>
    </w:p>
    <w:p w14:paraId="6D0EC04B"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Table 6</w:t>
      </w:r>
      <w:r>
        <w:rPr>
          <w:rFonts w:ascii="Times New Roman" w:eastAsia="Times New Roman" w:hAnsi="Times New Roman" w:cs="Times New Roman"/>
        </w:rPr>
        <w:t xml:space="preserve"> MM-GBSA binding free energy profile of the FDB020301-CCR5 complex</w:t>
      </w:r>
    </w:p>
    <w:p w14:paraId="69F3F8E0" w14:textId="77777777" w:rsidR="002F0DA9" w:rsidRDefault="002F0DA9">
      <w:pPr>
        <w:spacing w:after="0" w:line="240" w:lineRule="auto"/>
        <w:jc w:val="both"/>
        <w:rPr>
          <w:rFonts w:ascii="Times New Roman" w:eastAsia="Times New Roman" w:hAnsi="Times New Roman" w:cs="Times New Roman"/>
        </w:rPr>
      </w:pPr>
    </w:p>
    <w:tbl>
      <w:tblPr>
        <w:tblStyle w:val="a4"/>
        <w:tblW w:w="79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1724"/>
        <w:gridCol w:w="1724"/>
      </w:tblGrid>
      <w:tr w:rsidR="002F0DA9" w14:paraId="6DA4CD7B" w14:textId="77777777">
        <w:trPr>
          <w:jc w:val="center"/>
        </w:trPr>
        <w:tc>
          <w:tcPr>
            <w:tcW w:w="4508" w:type="dxa"/>
            <w:vAlign w:val="center"/>
          </w:tcPr>
          <w:p w14:paraId="4F9F9E7D" w14:textId="77777777" w:rsidR="002F0DA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Energy component</w:t>
            </w:r>
          </w:p>
        </w:tc>
        <w:tc>
          <w:tcPr>
            <w:tcW w:w="1724" w:type="dxa"/>
            <w:vAlign w:val="center"/>
          </w:tcPr>
          <w:p w14:paraId="398FF794"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MEAN</w:t>
            </w:r>
          </w:p>
        </w:tc>
        <w:tc>
          <w:tcPr>
            <w:tcW w:w="1724" w:type="dxa"/>
            <w:vAlign w:val="center"/>
          </w:tcPr>
          <w:p w14:paraId="6319BE42"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SD</w:t>
            </w:r>
          </w:p>
        </w:tc>
      </w:tr>
      <w:tr w:rsidR="002F0DA9" w14:paraId="2E9433D2" w14:textId="77777777">
        <w:trPr>
          <w:jc w:val="center"/>
        </w:trPr>
        <w:tc>
          <w:tcPr>
            <w:tcW w:w="4508" w:type="dxa"/>
            <w:vAlign w:val="center"/>
          </w:tcPr>
          <w:p w14:paraId="666BC9EA"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ΔEvdW</w:t>
            </w:r>
            <w:proofErr w:type="spellEnd"/>
          </w:p>
        </w:tc>
        <w:tc>
          <w:tcPr>
            <w:tcW w:w="1724" w:type="dxa"/>
            <w:vAlign w:val="center"/>
          </w:tcPr>
          <w:p w14:paraId="502DF4F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-45.4361</w:t>
            </w:r>
          </w:p>
        </w:tc>
        <w:tc>
          <w:tcPr>
            <w:tcW w:w="1724" w:type="dxa"/>
            <w:vAlign w:val="center"/>
          </w:tcPr>
          <w:p w14:paraId="0E1AA0B7" w14:textId="77777777" w:rsidR="002F0DA9"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2.812447</w:t>
            </w:r>
          </w:p>
        </w:tc>
      </w:tr>
      <w:tr w:rsidR="002F0DA9" w14:paraId="0C6FCEF2" w14:textId="77777777">
        <w:trPr>
          <w:jc w:val="center"/>
        </w:trPr>
        <w:tc>
          <w:tcPr>
            <w:tcW w:w="4508" w:type="dxa"/>
            <w:vAlign w:val="center"/>
          </w:tcPr>
          <w:p w14:paraId="0694C0A1"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ΔEele</w:t>
            </w:r>
            <w:proofErr w:type="spellEnd"/>
          </w:p>
        </w:tc>
        <w:tc>
          <w:tcPr>
            <w:tcW w:w="1724" w:type="dxa"/>
            <w:vAlign w:val="center"/>
          </w:tcPr>
          <w:p w14:paraId="13AEA2F4" w14:textId="77777777" w:rsidR="002F0DA9"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-5.36926</w:t>
            </w:r>
          </w:p>
        </w:tc>
        <w:tc>
          <w:tcPr>
            <w:tcW w:w="1724" w:type="dxa"/>
            <w:vAlign w:val="center"/>
          </w:tcPr>
          <w:p w14:paraId="2DAE228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4.772644</w:t>
            </w:r>
          </w:p>
        </w:tc>
      </w:tr>
      <w:tr w:rsidR="002F0DA9" w14:paraId="4BA14A42" w14:textId="77777777">
        <w:trPr>
          <w:jc w:val="center"/>
        </w:trPr>
        <w:tc>
          <w:tcPr>
            <w:tcW w:w="4508" w:type="dxa"/>
            <w:vAlign w:val="center"/>
          </w:tcPr>
          <w:p w14:paraId="3862BFFA" w14:textId="77777777" w:rsidR="002F0DA9" w:rsidRDefault="00000000">
            <w:pPr>
              <w:jc w:val="both"/>
              <w:rPr>
                <w:rFonts w:ascii="Times New Roman" w:eastAsia="Times New Roman" w:hAnsi="Times New Roman" w:cs="Times New Roman"/>
              </w:rPr>
            </w:pPr>
            <w:r>
              <w:rPr>
                <w:rFonts w:ascii="Times New Roman" w:eastAsia="Times New Roman" w:hAnsi="Times New Roman" w:cs="Times New Roman"/>
              </w:rPr>
              <w:t>ΔEGB</w:t>
            </w:r>
          </w:p>
        </w:tc>
        <w:tc>
          <w:tcPr>
            <w:tcW w:w="1724" w:type="dxa"/>
            <w:vAlign w:val="center"/>
          </w:tcPr>
          <w:p w14:paraId="3F6BBE2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20.16966</w:t>
            </w:r>
          </w:p>
        </w:tc>
        <w:tc>
          <w:tcPr>
            <w:tcW w:w="1724" w:type="dxa"/>
            <w:vAlign w:val="center"/>
          </w:tcPr>
          <w:p w14:paraId="236A99F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3.948609</w:t>
            </w:r>
          </w:p>
        </w:tc>
      </w:tr>
      <w:tr w:rsidR="002F0DA9" w14:paraId="3176F986" w14:textId="77777777">
        <w:trPr>
          <w:jc w:val="center"/>
        </w:trPr>
        <w:tc>
          <w:tcPr>
            <w:tcW w:w="4508" w:type="dxa"/>
            <w:vAlign w:val="center"/>
          </w:tcPr>
          <w:p w14:paraId="05AAA24B"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ΔEsurf</w:t>
            </w:r>
            <w:proofErr w:type="spellEnd"/>
          </w:p>
        </w:tc>
        <w:tc>
          <w:tcPr>
            <w:tcW w:w="1724" w:type="dxa"/>
            <w:vAlign w:val="center"/>
          </w:tcPr>
          <w:p w14:paraId="7E20C25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-4.56265</w:t>
            </w:r>
          </w:p>
        </w:tc>
        <w:tc>
          <w:tcPr>
            <w:tcW w:w="1724" w:type="dxa"/>
            <w:vAlign w:val="center"/>
          </w:tcPr>
          <w:p w14:paraId="49CBFB5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0.394011</w:t>
            </w:r>
          </w:p>
        </w:tc>
      </w:tr>
      <w:tr w:rsidR="002F0DA9" w14:paraId="1407C1C1" w14:textId="77777777">
        <w:trPr>
          <w:jc w:val="center"/>
        </w:trPr>
        <w:tc>
          <w:tcPr>
            <w:tcW w:w="4508" w:type="dxa"/>
            <w:vAlign w:val="center"/>
          </w:tcPr>
          <w:p w14:paraId="3C4F623F"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ΔGGas</w:t>
            </w:r>
            <w:proofErr w:type="spellEnd"/>
          </w:p>
        </w:tc>
        <w:tc>
          <w:tcPr>
            <w:tcW w:w="1724" w:type="dxa"/>
            <w:vAlign w:val="center"/>
          </w:tcPr>
          <w:p w14:paraId="4C78D93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-50.8055</w:t>
            </w:r>
          </w:p>
        </w:tc>
        <w:tc>
          <w:tcPr>
            <w:tcW w:w="1724" w:type="dxa"/>
            <w:vAlign w:val="center"/>
          </w:tcPr>
          <w:p w14:paraId="5330D92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5.517571</w:t>
            </w:r>
          </w:p>
        </w:tc>
      </w:tr>
      <w:tr w:rsidR="002F0DA9" w14:paraId="5F9EE69F" w14:textId="77777777">
        <w:trPr>
          <w:jc w:val="center"/>
        </w:trPr>
        <w:tc>
          <w:tcPr>
            <w:tcW w:w="4508" w:type="dxa"/>
            <w:vAlign w:val="center"/>
          </w:tcPr>
          <w:p w14:paraId="08A0C403"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ΔGSolv</w:t>
            </w:r>
            <w:proofErr w:type="spellEnd"/>
          </w:p>
        </w:tc>
        <w:tc>
          <w:tcPr>
            <w:tcW w:w="1724" w:type="dxa"/>
            <w:vAlign w:val="center"/>
          </w:tcPr>
          <w:p w14:paraId="1A8C51B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15.60697</w:t>
            </w:r>
          </w:p>
        </w:tc>
        <w:tc>
          <w:tcPr>
            <w:tcW w:w="1724" w:type="dxa"/>
            <w:vAlign w:val="center"/>
          </w:tcPr>
          <w:p w14:paraId="14280D9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3.869445</w:t>
            </w:r>
          </w:p>
        </w:tc>
      </w:tr>
      <w:tr w:rsidR="002F0DA9" w14:paraId="2AE4FE0D" w14:textId="77777777">
        <w:trPr>
          <w:jc w:val="center"/>
        </w:trPr>
        <w:tc>
          <w:tcPr>
            <w:tcW w:w="4508" w:type="dxa"/>
            <w:vAlign w:val="center"/>
          </w:tcPr>
          <w:p w14:paraId="6E025081"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ΔGbind</w:t>
            </w:r>
            <w:proofErr w:type="spellEnd"/>
          </w:p>
        </w:tc>
        <w:tc>
          <w:tcPr>
            <w:tcW w:w="1724" w:type="dxa"/>
            <w:vAlign w:val="center"/>
          </w:tcPr>
          <w:p w14:paraId="69D7508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-35.1983</w:t>
            </w:r>
          </w:p>
        </w:tc>
        <w:tc>
          <w:tcPr>
            <w:tcW w:w="1724" w:type="dxa"/>
            <w:vAlign w:val="center"/>
          </w:tcPr>
          <w:p w14:paraId="0439725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2.940762</w:t>
            </w:r>
          </w:p>
        </w:tc>
      </w:tr>
    </w:tbl>
    <w:p w14:paraId="2DF30F44" w14:textId="77777777" w:rsidR="002F0DA9" w:rsidRDefault="00000000">
      <w:pPr>
        <w:tabs>
          <w:tab w:val="right" w:pos="9026"/>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p>
    <w:p w14:paraId="609D75AC" w14:textId="77777777" w:rsidR="002F0DA9" w:rsidRDefault="002F0DA9">
      <w:pPr>
        <w:spacing w:after="0" w:line="240" w:lineRule="auto"/>
        <w:ind w:firstLine="720"/>
        <w:jc w:val="both"/>
        <w:rPr>
          <w:rFonts w:ascii="Times New Roman" w:eastAsia="Times New Roman" w:hAnsi="Times New Roman" w:cs="Times New Roman"/>
        </w:rPr>
      </w:pPr>
    </w:p>
    <w:p w14:paraId="13B83CC0" w14:textId="77777777" w:rsidR="002F0DA9" w:rsidRDefault="00000000" w:rsidP="00A3200E">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Discussion</w:t>
      </w:r>
    </w:p>
    <w:p w14:paraId="1DFF4F7E" w14:textId="77777777" w:rsidR="002F0DA9" w:rsidRDefault="002F0DA9">
      <w:pPr>
        <w:spacing w:after="0" w:line="240" w:lineRule="auto"/>
        <w:jc w:val="both"/>
        <w:rPr>
          <w:rFonts w:ascii="Times New Roman" w:eastAsia="Times New Roman" w:hAnsi="Times New Roman" w:cs="Times New Roman"/>
        </w:rPr>
      </w:pPr>
    </w:p>
    <w:p w14:paraId="66996206" w14:textId="16B5E3AF" w:rsidR="002F0DA9" w:rsidRDefault="00000000" w:rsidP="00A076F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present study demonstrates the utility of machine learning-assisted screening for efficiently prioritizing potential CCR5 inhibitors from a large food-derived chemical library. The XGBoost model was applied to 69,606 pre</w:t>
      </w:r>
      <w:r w:rsidR="006F3774">
        <w:rPr>
          <w:rFonts w:ascii="Times New Roman" w:eastAsia="Times New Roman" w:hAnsi="Times New Roman" w:cs="Times New Roman"/>
        </w:rPr>
        <w:t>-</w:t>
      </w:r>
      <w:r>
        <w:rPr>
          <w:rFonts w:ascii="Times New Roman" w:eastAsia="Times New Roman" w:hAnsi="Times New Roman" w:cs="Times New Roman"/>
        </w:rPr>
        <w:t>processed FooDB compounds, resulting in the identification of 10,329 compounds predicted to be active, from which the 2,000 highest-probability candidates were prioritized for subsequent screening. This progressive reduction of chemical space illustrates the advantage of ML-based approaches in rapidly focusing computational resources on compounds with a greater predicted likelihood of biological activity. XGBoost is particularly suitable for classification problems because it employs gradient-boosted decision trees to capture complex and nonlinear relationships between molecular features and biological outcomes, while maintaining flexibility and computational efficiency. Recent studies have also emphasized the growing role of XGBoost and related AI/ML approaches in drug discovery and development, while highlighting the importance of appropriate validation and cautious interpretation of model predictions [4</w:t>
      </w:r>
      <w:r w:rsidR="006F3774">
        <w:rPr>
          <w:rFonts w:ascii="Times New Roman" w:eastAsia="Times New Roman" w:hAnsi="Times New Roman" w:cs="Times New Roman"/>
        </w:rPr>
        <w:t>4</w:t>
      </w:r>
      <w:r>
        <w:rPr>
          <w:rFonts w:ascii="Times New Roman" w:eastAsia="Times New Roman" w:hAnsi="Times New Roman" w:cs="Times New Roman"/>
        </w:rPr>
        <w:t xml:space="preserve">]. Thus, the present predictions should be considered as a prioritization strategy rather than direct evidence of CCR5 inhibition. Nevertheless, the integration of molecular fingerprints with XGBoost enabled systematic interrogation of the large FooDB chemical space and generated a manageable set of candidates for downstream drug-likeness, ADMET, and structure-based analyses. The screening outcome therefore supports ML-guided virtual screening as an effective early-stage approach for expanding the search for structurally diverse CCR5 inhibitor candidates. </w:t>
      </w:r>
    </w:p>
    <w:p w14:paraId="25526470" w14:textId="77777777" w:rsidR="002F0DA9" w:rsidRDefault="002F0DA9">
      <w:pPr>
        <w:spacing w:after="0" w:line="240" w:lineRule="auto"/>
        <w:ind w:firstLine="540"/>
        <w:jc w:val="both"/>
        <w:rPr>
          <w:rFonts w:ascii="Times New Roman" w:eastAsia="Times New Roman" w:hAnsi="Times New Roman" w:cs="Times New Roman"/>
        </w:rPr>
      </w:pPr>
    </w:p>
    <w:p w14:paraId="64E3D183" w14:textId="38FB0194" w:rsidR="002F0DA9" w:rsidRDefault="00000000" w:rsidP="00931ACB">
      <w:pPr>
        <w:spacing w:after="0" w:line="240" w:lineRule="auto"/>
        <w:ind w:firstLine="426"/>
        <w:jc w:val="both"/>
        <w:rPr>
          <w:rFonts w:ascii="Times New Roman" w:eastAsia="Times New Roman" w:hAnsi="Times New Roman" w:cs="Times New Roman"/>
        </w:rPr>
      </w:pPr>
      <w:r>
        <w:rPr>
          <w:rFonts w:ascii="Times New Roman" w:eastAsia="Times New Roman" w:hAnsi="Times New Roman" w:cs="Times New Roman"/>
        </w:rPr>
        <w:t xml:space="preserve">The subsequent virtual screening workflow further refined the ML-prioritized compounds according to their predicted drug-like, pharmacokinetic, safety, and target-binding properties. Of the 2,000 high-probability candidates, 170 satisfied the combined Lipinski, Ghose, Veber, and Egan criteria, supporting their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physicochemical characteristics and potential suitability for further drug development. ADMET screening subsequently reduced this set to 11 compounds with acceptable predicted pharmacokinetic and safety profiles. Computational ADMET assessment is increasingly important for early prioritization because experimental pharmacokinetic and toxicity testing is costly and time-consuming; recent deep-learning platforms such as Deep-PK have expanded such predictions across numerous ADMET endpoints [4</w:t>
      </w:r>
      <w:r w:rsidR="006F3774">
        <w:rPr>
          <w:rFonts w:ascii="Times New Roman" w:eastAsia="Times New Roman" w:hAnsi="Times New Roman" w:cs="Times New Roman"/>
        </w:rPr>
        <w:t>5</w:t>
      </w:r>
      <w:r>
        <w:rPr>
          <w:rFonts w:ascii="Times New Roman" w:eastAsia="Times New Roman" w:hAnsi="Times New Roman" w:cs="Times New Roman"/>
        </w:rPr>
        <w:t xml:space="preserve">]. Molecular docking showed that all 11 compounds interacted </w:t>
      </w:r>
      <w:proofErr w:type="spellStart"/>
      <w:r>
        <w:rPr>
          <w:rFonts w:ascii="Times New Roman" w:eastAsia="Times New Roman" w:hAnsi="Times New Roman" w:cs="Times New Roman"/>
        </w:rPr>
        <w:t>favorably</w:t>
      </w:r>
      <w:proofErr w:type="spellEnd"/>
      <w:r>
        <w:rPr>
          <w:rFonts w:ascii="Times New Roman" w:eastAsia="Times New Roman" w:hAnsi="Times New Roman" w:cs="Times New Roman"/>
        </w:rPr>
        <w:t xml:space="preserve"> with CCR5, with binding scores ranging from −7.1 to −11.4 kcal/mol. Notably, FDB020301 exhibited the most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docking score (−11.4 kcal/mol), exceeding that of the reference CCR5 antagonist maraviroc (−10.5 kcal/mol), and interacted with key residues including TYR37, GLN280, GLU283, TRP86, and TYR108. These results support FDB020301 as the leading computational candidate, although docking scores alone do not establish experimental binding affinity or inhibitory potency. </w:t>
      </w:r>
    </w:p>
    <w:p w14:paraId="12E96A9B" w14:textId="77777777" w:rsidR="002F0DA9" w:rsidRDefault="002F0DA9">
      <w:pPr>
        <w:spacing w:after="0" w:line="240" w:lineRule="auto"/>
        <w:ind w:firstLine="540"/>
        <w:jc w:val="both"/>
        <w:rPr>
          <w:rFonts w:ascii="Times New Roman" w:eastAsia="Times New Roman" w:hAnsi="Times New Roman" w:cs="Times New Roman"/>
        </w:rPr>
      </w:pPr>
    </w:p>
    <w:p w14:paraId="1FAB71E2" w14:textId="73821974" w:rsidR="002F0DA9" w:rsidRDefault="00000000" w:rsidP="00931ACB">
      <w:pPr>
        <w:spacing w:after="0" w:line="240" w:lineRule="auto"/>
        <w:ind w:firstLine="426"/>
        <w:jc w:val="both"/>
        <w:rPr>
          <w:rFonts w:ascii="Times New Roman" w:eastAsia="Times New Roman" w:hAnsi="Times New Roman" w:cs="Times New Roman"/>
        </w:rPr>
      </w:pPr>
      <w:r>
        <w:rPr>
          <w:rFonts w:ascii="Times New Roman" w:eastAsia="Times New Roman" w:hAnsi="Times New Roman" w:cs="Times New Roman"/>
        </w:rPr>
        <w:t xml:space="preserve">Molecular dynamics simulations provided additional support for the dynamic stability of the CCR5–FDB020301 complex beyond the static docking model. During the 10 ns simulation, the CCR5 backbone displayed an overall mean RMSD of 0.2884 ± 0.0414 nm, whereas FDB020301 showed a mean RMSD of 0.2105 ± 0.0470 nm, with only a transient ligand </w:t>
      </w:r>
      <w:r>
        <w:rPr>
          <w:rFonts w:ascii="Times New Roman" w:eastAsia="Times New Roman" w:hAnsi="Times New Roman" w:cs="Times New Roman"/>
        </w:rPr>
        <w:lastRenderedPageBreak/>
        <w:t xml:space="preserve">deviation around 4.65 ns followed by stabilization. The relatively stable RMSF profile, particularly around the ligand-binding region, indicated that ligand association did not cause substantial destabilization of the receptor. Similarly, the nearly constant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value of 2.5232 ± 0.0171 nm and the comparable average values during the final 5 ns suggested preservation of receptor compactness. Hydrogen-bond, SASA, PCA/FEL, and MM/GBSA analyses provided further evidence of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complex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with a calculated MM/GBSA binding free energy of −35.19 ± 2.94 kcal/mol and substantial contributions from residues such as TRP86, TYR89, TYR108, and TYR37. Recent reviews recognize MD simulations as valuable tools for evaluating conformational dynamics, binding-pose stability, and lead optimization in drug discovery [4</w:t>
      </w:r>
      <w:r w:rsidR="006F3774">
        <w:rPr>
          <w:rFonts w:ascii="Times New Roman" w:eastAsia="Times New Roman" w:hAnsi="Times New Roman" w:cs="Times New Roman"/>
        </w:rPr>
        <w:t>6</w:t>
      </w:r>
      <w:r>
        <w:rPr>
          <w:rFonts w:ascii="Times New Roman" w:eastAsia="Times New Roman" w:hAnsi="Times New Roman" w:cs="Times New Roman"/>
        </w:rPr>
        <w:t>]. Collectively, these findings support the computational stability of FDB020301 within the CCR5 binding pocket and justify its further experimental validation.</w:t>
      </w:r>
    </w:p>
    <w:p w14:paraId="0F3CC013" w14:textId="77777777" w:rsidR="002F0DA9" w:rsidRDefault="002F0DA9">
      <w:pPr>
        <w:spacing w:after="0" w:line="240" w:lineRule="auto"/>
        <w:jc w:val="both"/>
        <w:rPr>
          <w:rFonts w:ascii="Times New Roman" w:eastAsia="Times New Roman" w:hAnsi="Times New Roman" w:cs="Times New Roman"/>
        </w:rPr>
      </w:pPr>
    </w:p>
    <w:p w14:paraId="28A14BA1" w14:textId="094FA9B8" w:rsidR="002F0DA9" w:rsidRPr="00C00114" w:rsidRDefault="00000000" w:rsidP="00C00114">
      <w:pPr>
        <w:pStyle w:val="ListParagraph"/>
        <w:numPr>
          <w:ilvl w:val="0"/>
          <w:numId w:val="7"/>
        </w:numPr>
        <w:pBdr>
          <w:top w:val="nil"/>
          <w:left w:val="nil"/>
          <w:bottom w:val="nil"/>
          <w:right w:val="nil"/>
          <w:between w:val="nil"/>
        </w:pBdr>
        <w:tabs>
          <w:tab w:val="left" w:pos="1152"/>
        </w:tabs>
        <w:spacing w:after="0" w:line="240" w:lineRule="auto"/>
        <w:ind w:left="426" w:hanging="426"/>
        <w:jc w:val="both"/>
        <w:rPr>
          <w:rFonts w:ascii="Times New Roman" w:eastAsia="Times New Roman" w:hAnsi="Times New Roman" w:cs="Times New Roman"/>
          <w:b/>
          <w:bCs/>
          <w:color w:val="000000"/>
        </w:rPr>
      </w:pPr>
      <w:r w:rsidRPr="00C00114">
        <w:rPr>
          <w:rFonts w:ascii="Times New Roman" w:eastAsia="Times New Roman" w:hAnsi="Times New Roman" w:cs="Times New Roman"/>
          <w:b/>
          <w:bCs/>
          <w:color w:val="000000"/>
        </w:rPr>
        <w:t>Conclusion</w:t>
      </w:r>
    </w:p>
    <w:p w14:paraId="4EDF3834" w14:textId="77777777" w:rsidR="002F0DA9" w:rsidRDefault="002F0DA9">
      <w:pPr>
        <w:tabs>
          <w:tab w:val="left" w:pos="1152"/>
        </w:tabs>
        <w:spacing w:after="0" w:line="240" w:lineRule="auto"/>
        <w:jc w:val="both"/>
        <w:rPr>
          <w:rFonts w:ascii="Times New Roman" w:eastAsia="Times New Roman" w:hAnsi="Times New Roman" w:cs="Times New Roman"/>
        </w:rPr>
      </w:pPr>
    </w:p>
    <w:p w14:paraId="647BFF20" w14:textId="00D9A740"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part of the present study, 11 lead candidates were identified as potential CCR5 antagonists through an integrated machine learning-driven </w:t>
      </w:r>
      <w:r>
        <w:rPr>
          <w:rFonts w:ascii="Times New Roman" w:eastAsia="Times New Roman" w:hAnsi="Times New Roman" w:cs="Times New Roman"/>
          <w:i/>
          <w:iCs/>
        </w:rPr>
        <w:t>in silico</w:t>
      </w:r>
      <w:r>
        <w:rPr>
          <w:rFonts w:ascii="Times New Roman" w:eastAsia="Times New Roman" w:hAnsi="Times New Roman" w:cs="Times New Roman"/>
        </w:rPr>
        <w:t xml:space="preserve"> drug discovery approach. The XGBoost-based screening strategy enabled the identification of drug-like compounds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pharmacokinetic and safety profiles compared with maraviroc, the only FDA-approved CCR5 inhibitor. ADMET analysis indicated that the selected compounds exhibited desirable drug-like properties, including good absorption, high permeability, central nervous system penetration, and potential P-glycoprotein inhibitory activity, while showing no predicted mutagenic, carcinogenic, cardiotoxic, or other major toxicity risks. Molecular docking provided further support for their potential CCR5 inhibitory activity, with FDB020301 emerging as the top-ranked candidate and exhibiting a more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docking score (−11.4 kcal/mol) than maraviroc (−10.5 kcal/mol). FDB020301 also established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interactions with key CCR5 binding-site residues, including TYR37, GLN280, GLU283, TRP86, and TYR108. Molecular dynamics simulation further confirmed the stability of the CCR5–FDB020301 complex, as indicated by stable RMSD, RMSF, radius of gyration, hydrogen-bond, SASA, and PCA/FEL profiles, together with a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MM/GBSA binding free energy of −35.19 ± 2.94 kcal/mol. Therefore, the integrated application of machine learning, ADMET profiling, molecular docking, and molecular dynamics simulations </w:t>
      </w:r>
      <w:proofErr w:type="gramStart"/>
      <w:r>
        <w:rPr>
          <w:rFonts w:ascii="Times New Roman" w:eastAsia="Times New Roman" w:hAnsi="Times New Roman" w:cs="Times New Roman"/>
        </w:rPr>
        <w:t>identifies</w:t>
      </w:r>
      <w:proofErr w:type="gramEnd"/>
      <w:r>
        <w:rPr>
          <w:rFonts w:ascii="Times New Roman" w:eastAsia="Times New Roman" w:hAnsi="Times New Roman" w:cs="Times New Roman"/>
        </w:rPr>
        <w:t xml:space="preserve"> FDB020301 as a promising computationally validated CCR5 antagonist and potential lead molecule for further experimental evaluation and optimization toward the development of novel antiviral therapeutics.</w:t>
      </w:r>
    </w:p>
    <w:p w14:paraId="340FA9A7" w14:textId="77777777" w:rsidR="00B63AB1" w:rsidRDefault="00B63AB1">
      <w:pPr>
        <w:tabs>
          <w:tab w:val="left" w:pos="360"/>
        </w:tabs>
        <w:spacing w:after="0" w:line="240" w:lineRule="auto"/>
        <w:jc w:val="both"/>
        <w:rPr>
          <w:rFonts w:ascii="Times New Roman" w:eastAsia="Times New Roman" w:hAnsi="Times New Roman" w:cs="Times New Roman"/>
        </w:rPr>
      </w:pPr>
    </w:p>
    <w:p w14:paraId="46DCA4A5" w14:textId="381BD894" w:rsidR="00C00114" w:rsidRDefault="00C00114">
      <w:pPr>
        <w:tabs>
          <w:tab w:val="left" w:pos="360"/>
        </w:tabs>
        <w:spacing w:after="0" w:line="240" w:lineRule="auto"/>
        <w:jc w:val="both"/>
        <w:rPr>
          <w:rFonts w:ascii="Times New Roman" w:eastAsia="Times New Roman" w:hAnsi="Times New Roman" w:cs="Times New Roman"/>
        </w:rPr>
      </w:pPr>
      <w:r w:rsidRPr="00C00114">
        <w:rPr>
          <w:rFonts w:ascii="Times New Roman" w:eastAsia="Times New Roman" w:hAnsi="Times New Roman" w:cs="Times New Roman"/>
          <w:b/>
          <w:bCs/>
        </w:rPr>
        <w:t>Acknowledgements</w:t>
      </w:r>
      <w:r w:rsidRPr="00C00114">
        <w:rPr>
          <w:rFonts w:ascii="Times New Roman" w:eastAsia="Times New Roman" w:hAnsi="Times New Roman" w:cs="Times New Roman"/>
        </w:rPr>
        <w:t xml:space="preserve"> The authors have nothing to report</w:t>
      </w:r>
    </w:p>
    <w:p w14:paraId="54A6DCDB" w14:textId="77777777" w:rsidR="005A3E61" w:rsidRDefault="005A3E61">
      <w:pPr>
        <w:tabs>
          <w:tab w:val="left" w:pos="360"/>
        </w:tabs>
        <w:spacing w:after="0" w:line="240" w:lineRule="auto"/>
        <w:jc w:val="both"/>
        <w:rPr>
          <w:rFonts w:ascii="Times New Roman" w:eastAsia="Times New Roman" w:hAnsi="Times New Roman" w:cs="Times New Roman"/>
        </w:rPr>
      </w:pPr>
    </w:p>
    <w:p w14:paraId="0C0B7DAD" w14:textId="5F96A90E" w:rsidR="005A3E61" w:rsidRDefault="005A3E61">
      <w:pPr>
        <w:tabs>
          <w:tab w:val="left" w:pos="360"/>
        </w:tabs>
        <w:spacing w:after="0" w:line="240" w:lineRule="auto"/>
        <w:jc w:val="both"/>
        <w:rPr>
          <w:rFonts w:ascii="Times New Roman" w:eastAsia="Times New Roman" w:hAnsi="Times New Roman" w:cs="Times New Roman"/>
        </w:rPr>
      </w:pPr>
      <w:r w:rsidRPr="005A3E61">
        <w:rPr>
          <w:rFonts w:ascii="Times New Roman" w:eastAsia="Times New Roman" w:hAnsi="Times New Roman" w:cs="Times New Roman"/>
          <w:b/>
          <w:bCs/>
        </w:rPr>
        <w:t xml:space="preserve">Author’s contributions </w:t>
      </w:r>
      <w:r w:rsidRPr="005A3E61">
        <w:rPr>
          <w:rFonts w:ascii="Times New Roman" w:eastAsia="Times New Roman" w:hAnsi="Times New Roman" w:cs="Times New Roman"/>
        </w:rPr>
        <w:t>Angadi Sathish Kumar</w:t>
      </w:r>
      <w:r w:rsidRPr="005A3E61">
        <w:rPr>
          <w:rFonts w:ascii="Times New Roman" w:eastAsia="Times New Roman" w:hAnsi="Times New Roman" w:cs="Times New Roman"/>
          <w:b/>
          <w:bCs/>
        </w:rPr>
        <w:t xml:space="preserve"> </w:t>
      </w:r>
      <w:r w:rsidRPr="005A3E61">
        <w:rPr>
          <w:rFonts w:ascii="Times New Roman" w:eastAsia="Times New Roman" w:hAnsi="Times New Roman" w:cs="Times New Roman"/>
        </w:rPr>
        <w:t>Writing – review &amp; editing, Visualization, Methodology, Formal analysis, Conceptualization</w:t>
      </w:r>
      <w:r>
        <w:rPr>
          <w:rFonts w:ascii="Times New Roman" w:eastAsia="Times New Roman" w:hAnsi="Times New Roman" w:cs="Times New Roman"/>
        </w:rPr>
        <w:t>;</w:t>
      </w:r>
      <w:r w:rsidRPr="005A3E61">
        <w:rPr>
          <w:rFonts w:ascii="Times New Roman" w:eastAsia="Times New Roman" w:hAnsi="Times New Roman" w:cs="Times New Roman"/>
        </w:rPr>
        <w:t xml:space="preserve"> Md Sanober</w:t>
      </w:r>
      <w:r w:rsidRPr="005A3E61">
        <w:rPr>
          <w:rFonts w:ascii="Times New Roman" w:eastAsia="Times New Roman" w:hAnsi="Times New Roman" w:cs="Times New Roman"/>
          <w:b/>
          <w:bCs/>
        </w:rPr>
        <w:t xml:space="preserve"> </w:t>
      </w:r>
      <w:r w:rsidRPr="005A3E61">
        <w:rPr>
          <w:rFonts w:ascii="Times New Roman" w:eastAsia="Times New Roman" w:hAnsi="Times New Roman" w:cs="Times New Roman"/>
        </w:rPr>
        <w:t>Writing – review &amp; editing, Data curation, Methodology. Estari Mamidala</w:t>
      </w:r>
      <w:r w:rsidRPr="005A3E61">
        <w:rPr>
          <w:rFonts w:ascii="Times New Roman" w:eastAsia="Times New Roman" w:hAnsi="Times New Roman" w:cs="Times New Roman"/>
          <w:b/>
          <w:bCs/>
        </w:rPr>
        <w:t xml:space="preserve"> </w:t>
      </w:r>
      <w:r w:rsidRPr="005A3E61">
        <w:rPr>
          <w:rFonts w:ascii="Times New Roman" w:eastAsia="Times New Roman" w:hAnsi="Times New Roman" w:cs="Times New Roman"/>
        </w:rPr>
        <w:t>Supervision, Writing – original draft, Investigation, Formal analysis, Data curation, Conceptualization.</w:t>
      </w:r>
    </w:p>
    <w:p w14:paraId="1C97F463" w14:textId="77777777" w:rsidR="00C00114" w:rsidRDefault="00C00114">
      <w:pPr>
        <w:tabs>
          <w:tab w:val="left" w:pos="360"/>
        </w:tabs>
        <w:spacing w:after="0" w:line="240" w:lineRule="auto"/>
        <w:jc w:val="both"/>
        <w:rPr>
          <w:rFonts w:ascii="Times New Roman" w:eastAsia="Times New Roman" w:hAnsi="Times New Roman" w:cs="Times New Roman"/>
        </w:rPr>
      </w:pPr>
    </w:p>
    <w:p w14:paraId="3862DFAC" w14:textId="564F852E" w:rsidR="00C00114" w:rsidRDefault="00C00114">
      <w:pPr>
        <w:tabs>
          <w:tab w:val="left" w:pos="360"/>
        </w:tabs>
        <w:spacing w:after="0" w:line="240" w:lineRule="auto"/>
        <w:jc w:val="both"/>
        <w:rPr>
          <w:rFonts w:ascii="Times New Roman" w:eastAsia="Times New Roman" w:hAnsi="Times New Roman" w:cs="Times New Roman"/>
        </w:rPr>
      </w:pPr>
      <w:r w:rsidRPr="00C00114">
        <w:rPr>
          <w:rFonts w:ascii="Times New Roman" w:eastAsia="Times New Roman" w:hAnsi="Times New Roman" w:cs="Times New Roman"/>
          <w:b/>
          <w:bCs/>
        </w:rPr>
        <w:t>Funding</w:t>
      </w:r>
      <w:r w:rsidRPr="00C00114">
        <w:rPr>
          <w:rFonts w:ascii="Times New Roman" w:eastAsia="Times New Roman" w:hAnsi="Times New Roman" w:cs="Times New Roman"/>
        </w:rPr>
        <w:t xml:space="preserve"> The present research did not receive any specific grant from funding agencies in the</w:t>
      </w:r>
      <w:r>
        <w:rPr>
          <w:rFonts w:ascii="Times New Roman" w:eastAsia="Times New Roman" w:hAnsi="Times New Roman" w:cs="Times New Roman"/>
        </w:rPr>
        <w:t xml:space="preserve"> </w:t>
      </w:r>
      <w:r w:rsidRPr="00C00114">
        <w:rPr>
          <w:rFonts w:ascii="Times New Roman" w:eastAsia="Times New Roman" w:hAnsi="Times New Roman" w:cs="Times New Roman"/>
        </w:rPr>
        <w:t>public, commercial, or not-for-profit sectors.</w:t>
      </w:r>
    </w:p>
    <w:p w14:paraId="14F71C54" w14:textId="77777777" w:rsidR="00C00114" w:rsidRDefault="00C00114">
      <w:pPr>
        <w:tabs>
          <w:tab w:val="left" w:pos="360"/>
        </w:tabs>
        <w:spacing w:after="0" w:line="240" w:lineRule="auto"/>
        <w:jc w:val="both"/>
        <w:rPr>
          <w:rFonts w:ascii="Times New Roman" w:eastAsia="Times New Roman" w:hAnsi="Times New Roman" w:cs="Times New Roman"/>
        </w:rPr>
      </w:pPr>
    </w:p>
    <w:p w14:paraId="7E22E05B" w14:textId="11B404B1" w:rsidR="00C00114" w:rsidRDefault="00C00114">
      <w:pPr>
        <w:tabs>
          <w:tab w:val="left" w:pos="360"/>
        </w:tabs>
        <w:spacing w:after="0" w:line="240" w:lineRule="auto"/>
        <w:jc w:val="both"/>
        <w:rPr>
          <w:rFonts w:ascii="Times New Roman" w:eastAsia="Times New Roman" w:hAnsi="Times New Roman" w:cs="Times New Roman"/>
        </w:rPr>
      </w:pPr>
      <w:r w:rsidRPr="00C00114">
        <w:rPr>
          <w:rFonts w:ascii="Times New Roman" w:eastAsia="Times New Roman" w:hAnsi="Times New Roman" w:cs="Times New Roman"/>
          <w:b/>
          <w:bCs/>
        </w:rPr>
        <w:t>Data Availability</w:t>
      </w:r>
      <w:r w:rsidRPr="00C00114">
        <w:rPr>
          <w:rFonts w:ascii="Times New Roman" w:eastAsia="Times New Roman" w:hAnsi="Times New Roman" w:cs="Times New Roman"/>
        </w:rPr>
        <w:t xml:space="preserve"> No datasets were generated or </w:t>
      </w:r>
      <w:r w:rsidR="00293FE1" w:rsidRPr="00C00114">
        <w:rPr>
          <w:rFonts w:ascii="Times New Roman" w:eastAsia="Times New Roman" w:hAnsi="Times New Roman" w:cs="Times New Roman"/>
        </w:rPr>
        <w:t>analysed</w:t>
      </w:r>
      <w:r w:rsidRPr="00C00114">
        <w:rPr>
          <w:rFonts w:ascii="Times New Roman" w:eastAsia="Times New Roman" w:hAnsi="Times New Roman" w:cs="Times New Roman"/>
        </w:rPr>
        <w:t xml:space="preserve"> in this study.</w:t>
      </w:r>
    </w:p>
    <w:p w14:paraId="69177938" w14:textId="77777777" w:rsidR="00C00114" w:rsidRDefault="00C00114">
      <w:pPr>
        <w:tabs>
          <w:tab w:val="left" w:pos="360"/>
        </w:tabs>
        <w:spacing w:after="0" w:line="240" w:lineRule="auto"/>
        <w:jc w:val="both"/>
        <w:rPr>
          <w:rFonts w:ascii="Times New Roman" w:eastAsia="Times New Roman" w:hAnsi="Times New Roman" w:cs="Times New Roman"/>
        </w:rPr>
      </w:pPr>
    </w:p>
    <w:p w14:paraId="26E16E35" w14:textId="77777777" w:rsidR="00C00114" w:rsidRDefault="00C00114">
      <w:pPr>
        <w:tabs>
          <w:tab w:val="left" w:pos="360"/>
        </w:tabs>
        <w:spacing w:after="0" w:line="240" w:lineRule="auto"/>
        <w:jc w:val="both"/>
        <w:rPr>
          <w:rFonts w:ascii="Times New Roman" w:eastAsia="Times New Roman" w:hAnsi="Times New Roman" w:cs="Times New Roman"/>
          <w:b/>
          <w:bCs/>
        </w:rPr>
      </w:pPr>
      <w:r w:rsidRPr="00C00114">
        <w:rPr>
          <w:rFonts w:ascii="Times New Roman" w:eastAsia="Times New Roman" w:hAnsi="Times New Roman" w:cs="Times New Roman"/>
          <w:b/>
          <w:bCs/>
        </w:rPr>
        <w:t xml:space="preserve">Declarations </w:t>
      </w:r>
    </w:p>
    <w:p w14:paraId="1A6D895B" w14:textId="77777777" w:rsidR="00B63AB1" w:rsidRDefault="00B63AB1">
      <w:pPr>
        <w:tabs>
          <w:tab w:val="left" w:pos="360"/>
        </w:tabs>
        <w:spacing w:after="0" w:line="240" w:lineRule="auto"/>
        <w:jc w:val="both"/>
        <w:rPr>
          <w:rFonts w:ascii="Times New Roman" w:eastAsia="Times New Roman" w:hAnsi="Times New Roman" w:cs="Times New Roman"/>
        </w:rPr>
      </w:pPr>
    </w:p>
    <w:p w14:paraId="3AD04092" w14:textId="4527E74E" w:rsidR="00C00114" w:rsidRDefault="00C00114">
      <w:pPr>
        <w:tabs>
          <w:tab w:val="left" w:pos="360"/>
        </w:tabs>
        <w:spacing w:after="0" w:line="240" w:lineRule="auto"/>
        <w:jc w:val="both"/>
        <w:rPr>
          <w:rFonts w:ascii="Times New Roman" w:eastAsia="Times New Roman" w:hAnsi="Times New Roman" w:cs="Times New Roman"/>
        </w:rPr>
      </w:pPr>
      <w:r w:rsidRPr="00C00114">
        <w:rPr>
          <w:rFonts w:ascii="Times New Roman" w:eastAsia="Times New Roman" w:hAnsi="Times New Roman" w:cs="Times New Roman"/>
          <w:b/>
          <w:bCs/>
        </w:rPr>
        <w:t>Ethics Approval</w:t>
      </w:r>
      <w:r w:rsidRPr="00C00114">
        <w:rPr>
          <w:rFonts w:ascii="Times New Roman" w:eastAsia="Times New Roman" w:hAnsi="Times New Roman" w:cs="Times New Roman"/>
        </w:rPr>
        <w:t xml:space="preserve"> There are no ethical concerns to consider.</w:t>
      </w:r>
    </w:p>
    <w:p w14:paraId="0E5A4E61" w14:textId="123DE3C9" w:rsidR="00C00114" w:rsidRDefault="00C00114">
      <w:pPr>
        <w:tabs>
          <w:tab w:val="left" w:pos="360"/>
        </w:tabs>
        <w:spacing w:after="0" w:line="240" w:lineRule="auto"/>
        <w:jc w:val="both"/>
        <w:rPr>
          <w:rFonts w:ascii="Times New Roman" w:eastAsia="Times New Roman" w:hAnsi="Times New Roman" w:cs="Times New Roman"/>
        </w:rPr>
      </w:pPr>
      <w:r w:rsidRPr="00C00114">
        <w:rPr>
          <w:rFonts w:ascii="Times New Roman" w:eastAsia="Times New Roman" w:hAnsi="Times New Roman" w:cs="Times New Roman"/>
          <w:b/>
          <w:bCs/>
        </w:rPr>
        <w:lastRenderedPageBreak/>
        <w:t>Informed Consent</w:t>
      </w:r>
      <w:r w:rsidRPr="00C00114">
        <w:rPr>
          <w:rFonts w:ascii="Times New Roman" w:eastAsia="Times New Roman" w:hAnsi="Times New Roman" w:cs="Times New Roman"/>
        </w:rPr>
        <w:t xml:space="preserve"> Not applicable.</w:t>
      </w:r>
    </w:p>
    <w:p w14:paraId="516DB177" w14:textId="77777777" w:rsidR="00C00114" w:rsidRDefault="00C00114">
      <w:pPr>
        <w:tabs>
          <w:tab w:val="left" w:pos="360"/>
        </w:tabs>
        <w:spacing w:after="0" w:line="240" w:lineRule="auto"/>
        <w:jc w:val="both"/>
        <w:rPr>
          <w:rFonts w:ascii="Times New Roman" w:eastAsia="Times New Roman" w:hAnsi="Times New Roman" w:cs="Times New Roman"/>
        </w:rPr>
      </w:pPr>
    </w:p>
    <w:p w14:paraId="7F4675D3" w14:textId="7307C014" w:rsidR="00C00114" w:rsidRDefault="00C00114">
      <w:pPr>
        <w:tabs>
          <w:tab w:val="left" w:pos="360"/>
        </w:tabs>
        <w:spacing w:after="0" w:line="240" w:lineRule="auto"/>
        <w:jc w:val="both"/>
        <w:rPr>
          <w:rFonts w:ascii="Times New Roman" w:eastAsia="Times New Roman" w:hAnsi="Times New Roman" w:cs="Times New Roman"/>
        </w:rPr>
      </w:pPr>
      <w:r w:rsidRPr="00C00114">
        <w:rPr>
          <w:rFonts w:ascii="Times New Roman" w:eastAsia="Times New Roman" w:hAnsi="Times New Roman" w:cs="Times New Roman"/>
          <w:b/>
          <w:bCs/>
        </w:rPr>
        <w:t>Conflict of interest</w:t>
      </w:r>
      <w:r w:rsidRPr="00C00114">
        <w:rPr>
          <w:rFonts w:ascii="Times New Roman" w:eastAsia="Times New Roman" w:hAnsi="Times New Roman" w:cs="Times New Roman"/>
        </w:rPr>
        <w:t xml:space="preserve"> </w:t>
      </w:r>
      <w:proofErr w:type="gramStart"/>
      <w:r w:rsidRPr="00C00114">
        <w:rPr>
          <w:rFonts w:ascii="Times New Roman" w:eastAsia="Times New Roman" w:hAnsi="Times New Roman" w:cs="Times New Roman"/>
        </w:rPr>
        <w:t>The</w:t>
      </w:r>
      <w:proofErr w:type="gramEnd"/>
      <w:r w:rsidRPr="00C00114">
        <w:rPr>
          <w:rFonts w:ascii="Times New Roman" w:eastAsia="Times New Roman" w:hAnsi="Times New Roman" w:cs="Times New Roman"/>
        </w:rPr>
        <w:t xml:space="preserve"> authors do not have any conflicts of interest to declare.</w:t>
      </w:r>
    </w:p>
    <w:p w14:paraId="650EE02D" w14:textId="77777777" w:rsidR="00C00114" w:rsidRDefault="00C00114">
      <w:pPr>
        <w:tabs>
          <w:tab w:val="left" w:pos="360"/>
        </w:tabs>
        <w:spacing w:after="0" w:line="240" w:lineRule="auto"/>
        <w:jc w:val="both"/>
        <w:rPr>
          <w:rFonts w:ascii="Times New Roman" w:eastAsia="Times New Roman" w:hAnsi="Times New Roman" w:cs="Times New Roman"/>
        </w:rPr>
      </w:pPr>
    </w:p>
    <w:p w14:paraId="2BFBCB30" w14:textId="77777777" w:rsidR="002F0DA9" w:rsidRDefault="00000000">
      <w:pPr>
        <w:tabs>
          <w:tab w:val="left" w:pos="1152"/>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75AECD6C"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4E0B9208"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UNAIDS, Global HIV &amp; AIDS statistics—Fact sheet, UNAIDS (accessed 2026).</w:t>
      </w:r>
    </w:p>
    <w:p w14:paraId="538CBCD0" w14:textId="75A462B9" w:rsidR="00523E67" w:rsidRDefault="00523E67">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proofErr w:type="spellStart"/>
      <w:r w:rsidRPr="00523E67">
        <w:rPr>
          <w:rFonts w:ascii="Times New Roman" w:eastAsia="Times New Roman" w:hAnsi="Times New Roman" w:cs="Times New Roman"/>
          <w:color w:val="000000"/>
        </w:rPr>
        <w:t>Grivel</w:t>
      </w:r>
      <w:proofErr w:type="spellEnd"/>
      <w:r w:rsidRPr="00523E67">
        <w:rPr>
          <w:rFonts w:ascii="Times New Roman" w:eastAsia="Times New Roman" w:hAnsi="Times New Roman" w:cs="Times New Roman"/>
          <w:color w:val="000000"/>
        </w:rPr>
        <w:t xml:space="preserve"> JC, Ito Y, </w:t>
      </w:r>
      <w:proofErr w:type="spellStart"/>
      <w:r w:rsidRPr="00523E67">
        <w:rPr>
          <w:rFonts w:ascii="Times New Roman" w:eastAsia="Times New Roman" w:hAnsi="Times New Roman" w:cs="Times New Roman"/>
          <w:color w:val="000000"/>
        </w:rPr>
        <w:t>Fagà</w:t>
      </w:r>
      <w:proofErr w:type="spellEnd"/>
      <w:r w:rsidRPr="00523E67">
        <w:rPr>
          <w:rFonts w:ascii="Times New Roman" w:eastAsia="Times New Roman" w:hAnsi="Times New Roman" w:cs="Times New Roman"/>
          <w:color w:val="000000"/>
        </w:rPr>
        <w:t xml:space="preserve"> G, Santoro F, Shaheen F, Malnati MS, Fitzgerald W, Lusso P, Margolis L (2001) Suppression of CCR5- but not CXCR4-tropic HIV-1 in lymphoid tissue by human herpesvirus 6. Nat Med 7:1232-1235. </w:t>
      </w:r>
      <w:hyperlink r:id="rId23" w:history="1">
        <w:r w:rsidRPr="00C00114">
          <w:rPr>
            <w:rStyle w:val="Hyperlink"/>
            <w:rFonts w:ascii="Times New Roman" w:eastAsia="Times New Roman" w:hAnsi="Times New Roman" w:cs="Times New Roman"/>
            <w:u w:val="none"/>
          </w:rPr>
          <w:t>https://doi.org/10.1038/nm1101-1232</w:t>
        </w:r>
      </w:hyperlink>
    </w:p>
    <w:p w14:paraId="20F2C033" w14:textId="7CEF1B66" w:rsidR="00523E67" w:rsidRDefault="00523E67">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proofErr w:type="spellStart"/>
      <w:r w:rsidRPr="00523E67">
        <w:rPr>
          <w:rFonts w:ascii="Times New Roman" w:eastAsia="Times New Roman" w:hAnsi="Times New Roman" w:cs="Times New Roman"/>
          <w:color w:val="000000"/>
        </w:rPr>
        <w:t>Boncompain</w:t>
      </w:r>
      <w:proofErr w:type="spellEnd"/>
      <w:r w:rsidRPr="00523E67">
        <w:rPr>
          <w:rFonts w:ascii="Times New Roman" w:eastAsia="Times New Roman" w:hAnsi="Times New Roman" w:cs="Times New Roman"/>
          <w:color w:val="000000"/>
        </w:rPr>
        <w:t xml:space="preserve"> G, Herit F, Tessier S, Lescure A, Del Nery E, </w:t>
      </w:r>
      <w:proofErr w:type="spellStart"/>
      <w:r w:rsidRPr="00523E67">
        <w:rPr>
          <w:rFonts w:ascii="Times New Roman" w:eastAsia="Times New Roman" w:hAnsi="Times New Roman" w:cs="Times New Roman"/>
          <w:color w:val="000000"/>
        </w:rPr>
        <w:t>Gestraud</w:t>
      </w:r>
      <w:proofErr w:type="spellEnd"/>
      <w:r w:rsidRPr="00523E67">
        <w:rPr>
          <w:rFonts w:ascii="Times New Roman" w:eastAsia="Times New Roman" w:hAnsi="Times New Roman" w:cs="Times New Roman"/>
          <w:color w:val="000000"/>
        </w:rPr>
        <w:t xml:space="preserve"> P, Staropoli I, Fukata Y, Fukata M, </w:t>
      </w:r>
      <w:proofErr w:type="spellStart"/>
      <w:r w:rsidRPr="00523E67">
        <w:rPr>
          <w:rFonts w:ascii="Times New Roman" w:eastAsia="Times New Roman" w:hAnsi="Times New Roman" w:cs="Times New Roman"/>
          <w:color w:val="000000"/>
        </w:rPr>
        <w:t>Brelot</w:t>
      </w:r>
      <w:proofErr w:type="spellEnd"/>
      <w:r w:rsidRPr="00523E67">
        <w:rPr>
          <w:rFonts w:ascii="Times New Roman" w:eastAsia="Times New Roman" w:hAnsi="Times New Roman" w:cs="Times New Roman"/>
          <w:color w:val="000000"/>
        </w:rPr>
        <w:t xml:space="preserve"> A, </w:t>
      </w:r>
      <w:proofErr w:type="spellStart"/>
      <w:r w:rsidRPr="00523E67">
        <w:rPr>
          <w:rFonts w:ascii="Times New Roman" w:eastAsia="Times New Roman" w:hAnsi="Times New Roman" w:cs="Times New Roman"/>
          <w:color w:val="000000"/>
        </w:rPr>
        <w:t>Niedergang</w:t>
      </w:r>
      <w:proofErr w:type="spellEnd"/>
      <w:r w:rsidRPr="00523E67">
        <w:rPr>
          <w:rFonts w:ascii="Times New Roman" w:eastAsia="Times New Roman" w:hAnsi="Times New Roman" w:cs="Times New Roman"/>
          <w:color w:val="000000"/>
        </w:rPr>
        <w:t xml:space="preserve"> F, Perez F (2019) Targeting CCR5 trafficking to inhibit HIV-1 infection. Sci Adv </w:t>
      </w:r>
      <w:proofErr w:type="gramStart"/>
      <w:r w:rsidRPr="00523E67">
        <w:rPr>
          <w:rFonts w:ascii="Times New Roman" w:eastAsia="Times New Roman" w:hAnsi="Times New Roman" w:cs="Times New Roman"/>
          <w:color w:val="000000"/>
        </w:rPr>
        <w:t>5:eaax</w:t>
      </w:r>
      <w:proofErr w:type="gramEnd"/>
      <w:r w:rsidRPr="00523E67">
        <w:rPr>
          <w:rFonts w:ascii="Times New Roman" w:eastAsia="Times New Roman" w:hAnsi="Times New Roman" w:cs="Times New Roman"/>
          <w:color w:val="000000"/>
        </w:rPr>
        <w:t>0821</w:t>
      </w:r>
      <w:r w:rsidRPr="00293FE1">
        <w:rPr>
          <w:rFonts w:ascii="Times New Roman" w:eastAsia="Times New Roman" w:hAnsi="Times New Roman" w:cs="Times New Roman"/>
          <w:color w:val="000000"/>
        </w:rPr>
        <w:t xml:space="preserve">. </w:t>
      </w:r>
      <w:hyperlink r:id="rId24" w:history="1">
        <w:r w:rsidRPr="00293FE1">
          <w:rPr>
            <w:rStyle w:val="Hyperlink"/>
            <w:rFonts w:ascii="Times New Roman" w:eastAsia="Times New Roman" w:hAnsi="Times New Roman" w:cs="Times New Roman"/>
            <w:u w:val="none"/>
          </w:rPr>
          <w:t>https://doi.org/10.1126/sciadv.aax0821</w:t>
        </w:r>
      </w:hyperlink>
    </w:p>
    <w:p w14:paraId="7EECE34D" w14:textId="00181BFA" w:rsidR="00523E67" w:rsidRDefault="00523E67">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523E67">
        <w:rPr>
          <w:rFonts w:ascii="Times New Roman" w:eastAsia="Times New Roman" w:hAnsi="Times New Roman" w:cs="Times New Roman"/>
          <w:color w:val="000000"/>
        </w:rPr>
        <w:t xml:space="preserve">Rana S, Besson G, Cook DG, Rucker J, Smyth RJ, Yi Y, Turner JD, Guo HH, Du JG, Peiper SC, Lavi E, Samson M, Libert F, </w:t>
      </w:r>
      <w:proofErr w:type="spellStart"/>
      <w:r w:rsidRPr="00523E67">
        <w:rPr>
          <w:rFonts w:ascii="Times New Roman" w:eastAsia="Times New Roman" w:hAnsi="Times New Roman" w:cs="Times New Roman"/>
          <w:color w:val="000000"/>
        </w:rPr>
        <w:t>Liesnard</w:t>
      </w:r>
      <w:proofErr w:type="spellEnd"/>
      <w:r w:rsidRPr="00523E67">
        <w:rPr>
          <w:rFonts w:ascii="Times New Roman" w:eastAsia="Times New Roman" w:hAnsi="Times New Roman" w:cs="Times New Roman"/>
          <w:color w:val="000000"/>
        </w:rPr>
        <w:t xml:space="preserve"> C, </w:t>
      </w:r>
      <w:proofErr w:type="spellStart"/>
      <w:r w:rsidRPr="00523E67">
        <w:rPr>
          <w:rFonts w:ascii="Times New Roman" w:eastAsia="Times New Roman" w:hAnsi="Times New Roman" w:cs="Times New Roman"/>
          <w:color w:val="000000"/>
        </w:rPr>
        <w:t>Vassart</w:t>
      </w:r>
      <w:proofErr w:type="spellEnd"/>
      <w:r w:rsidRPr="00523E67">
        <w:rPr>
          <w:rFonts w:ascii="Times New Roman" w:eastAsia="Times New Roman" w:hAnsi="Times New Roman" w:cs="Times New Roman"/>
          <w:color w:val="000000"/>
        </w:rPr>
        <w:t xml:space="preserve"> G, </w:t>
      </w:r>
      <w:proofErr w:type="spellStart"/>
      <w:r w:rsidRPr="00523E67">
        <w:rPr>
          <w:rFonts w:ascii="Times New Roman" w:eastAsia="Times New Roman" w:hAnsi="Times New Roman" w:cs="Times New Roman"/>
          <w:color w:val="000000"/>
        </w:rPr>
        <w:t>Doms</w:t>
      </w:r>
      <w:proofErr w:type="spellEnd"/>
      <w:r w:rsidRPr="00523E67">
        <w:rPr>
          <w:rFonts w:ascii="Times New Roman" w:eastAsia="Times New Roman" w:hAnsi="Times New Roman" w:cs="Times New Roman"/>
          <w:color w:val="000000"/>
        </w:rPr>
        <w:t xml:space="preserve"> RW, Parmentier M, Collman RG (1997) Role of CCR5 in infection of primary macrophages and lymphocytes by macrophage-tropic strains of human immunodeficiency virus: resistance to patient-derived and prototype isolates resulting from the delta ccr5 mutation. J </w:t>
      </w:r>
      <w:proofErr w:type="spellStart"/>
      <w:r w:rsidRPr="00523E67">
        <w:rPr>
          <w:rFonts w:ascii="Times New Roman" w:eastAsia="Times New Roman" w:hAnsi="Times New Roman" w:cs="Times New Roman"/>
          <w:color w:val="000000"/>
        </w:rPr>
        <w:t>Virol</w:t>
      </w:r>
      <w:proofErr w:type="spellEnd"/>
      <w:r w:rsidRPr="00523E67">
        <w:rPr>
          <w:rFonts w:ascii="Times New Roman" w:eastAsia="Times New Roman" w:hAnsi="Times New Roman" w:cs="Times New Roman"/>
          <w:color w:val="000000"/>
        </w:rPr>
        <w:t xml:space="preserve"> 71:3219-3227. </w:t>
      </w:r>
      <w:hyperlink r:id="rId25" w:history="1">
        <w:r w:rsidRPr="00293FE1">
          <w:rPr>
            <w:rStyle w:val="Hyperlink"/>
            <w:rFonts w:ascii="Times New Roman" w:eastAsia="Times New Roman" w:hAnsi="Times New Roman" w:cs="Times New Roman"/>
            <w:u w:val="none"/>
          </w:rPr>
          <w:t>https://doi.org/10.1128/JVI.71.4.3219-3227.1997</w:t>
        </w:r>
      </w:hyperlink>
    </w:p>
    <w:p w14:paraId="324EE08F" w14:textId="46A84D7C" w:rsidR="00523E67" w:rsidRPr="00293FE1" w:rsidRDefault="00523E67">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523E67">
        <w:rPr>
          <w:rFonts w:ascii="Times New Roman" w:eastAsia="Times New Roman" w:hAnsi="Times New Roman" w:cs="Times New Roman"/>
          <w:color w:val="000000"/>
        </w:rPr>
        <w:t xml:space="preserve">Dhami H, Fritz CE, Gankin B, Pak SH, Yi W, Seya MJ, Raffa RB, Nagar S (2009) The chemokine system and CCR5 antagonists: potential in HIV treatment and other novel therapies. J Clin Pharm Ther 34:147-160. </w:t>
      </w:r>
      <w:hyperlink r:id="rId26" w:history="1">
        <w:r w:rsidRPr="00293FE1">
          <w:rPr>
            <w:rStyle w:val="Hyperlink"/>
            <w:rFonts w:ascii="Times New Roman" w:eastAsia="Times New Roman" w:hAnsi="Times New Roman" w:cs="Times New Roman"/>
            <w:u w:val="none"/>
          </w:rPr>
          <w:t>https://doi.org/10.1111/j.1365-2710.2008.00978.x</w:t>
        </w:r>
      </w:hyperlink>
    </w:p>
    <w:p w14:paraId="3AEAFAC4" w14:textId="578113CB" w:rsidR="00523E67" w:rsidRDefault="00523E67">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523E67">
        <w:rPr>
          <w:rFonts w:ascii="Times New Roman" w:eastAsia="Times New Roman" w:hAnsi="Times New Roman" w:cs="Times New Roman"/>
          <w:color w:val="000000"/>
        </w:rPr>
        <w:t xml:space="preserve">Rao PK (2009) CCR5 inhibitors: Emerging promising HIV therapeutic strategy. Indian J Sex Transm Dis AIDS 30:1-9. </w:t>
      </w:r>
      <w:hyperlink r:id="rId27" w:history="1">
        <w:r w:rsidRPr="00293FE1">
          <w:rPr>
            <w:rStyle w:val="Hyperlink"/>
            <w:rFonts w:ascii="Times New Roman" w:eastAsia="Times New Roman" w:hAnsi="Times New Roman" w:cs="Times New Roman"/>
            <w:u w:val="none"/>
          </w:rPr>
          <w:t>https://doi.org/10.4103/0253-7184.55471</w:t>
        </w:r>
      </w:hyperlink>
    </w:p>
    <w:p w14:paraId="0B6B18D5" w14:textId="5A4B3D93" w:rsidR="002D6EB6"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Niazi SK, Mariam Z (2023) Computer-Aided Drug Design and Drug Discovery: A Prospective Analysis. Pharmaceuticals 17:22</w:t>
      </w:r>
      <w:r w:rsidRPr="00293FE1">
        <w:rPr>
          <w:rFonts w:ascii="Times New Roman" w:eastAsia="Times New Roman" w:hAnsi="Times New Roman" w:cs="Times New Roman"/>
          <w:color w:val="000000"/>
        </w:rPr>
        <w:t xml:space="preserve">. </w:t>
      </w:r>
      <w:hyperlink r:id="rId28" w:history="1">
        <w:r w:rsidRPr="00293FE1">
          <w:rPr>
            <w:rStyle w:val="Hyperlink"/>
            <w:rFonts w:ascii="Times New Roman" w:eastAsia="Times New Roman" w:hAnsi="Times New Roman" w:cs="Times New Roman"/>
            <w:u w:val="none"/>
          </w:rPr>
          <w:t>https://doi.org/10.3390/ph17010022</w:t>
        </w:r>
      </w:hyperlink>
    </w:p>
    <w:p w14:paraId="1D3AAE9C" w14:textId="71E71BE8" w:rsidR="002D6EB6"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 xml:space="preserve">Babajide Mustapha I, Saeed F (2016) Bioactive Molecule Prediction Using Extreme Gradient Boosting. Molecules 21:983. </w:t>
      </w:r>
      <w:hyperlink r:id="rId29" w:history="1">
        <w:r w:rsidRPr="00293FE1">
          <w:rPr>
            <w:rStyle w:val="Hyperlink"/>
            <w:rFonts w:ascii="Times New Roman" w:eastAsia="Times New Roman" w:hAnsi="Times New Roman" w:cs="Times New Roman"/>
            <w:u w:val="none"/>
          </w:rPr>
          <w:t>https://doi.org/10.3390/molecules21080983</w:t>
        </w:r>
      </w:hyperlink>
    </w:p>
    <w:p w14:paraId="115507C5" w14:textId="2FF6D57D" w:rsidR="002D6EB6" w:rsidRPr="00293FE1"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 xml:space="preserve">Vamathevan J, Clark D, </w:t>
      </w:r>
      <w:proofErr w:type="spellStart"/>
      <w:r w:rsidRPr="002D6EB6">
        <w:rPr>
          <w:rFonts w:ascii="Times New Roman" w:eastAsia="Times New Roman" w:hAnsi="Times New Roman" w:cs="Times New Roman"/>
          <w:color w:val="000000"/>
        </w:rPr>
        <w:t>Czodrowski</w:t>
      </w:r>
      <w:proofErr w:type="spellEnd"/>
      <w:r w:rsidRPr="002D6EB6">
        <w:rPr>
          <w:rFonts w:ascii="Times New Roman" w:eastAsia="Times New Roman" w:hAnsi="Times New Roman" w:cs="Times New Roman"/>
          <w:color w:val="000000"/>
        </w:rPr>
        <w:t xml:space="preserve"> P, Dunham I, Ferran E, Lee G, Li B, </w:t>
      </w:r>
      <w:proofErr w:type="spellStart"/>
      <w:r w:rsidRPr="002D6EB6">
        <w:rPr>
          <w:rFonts w:ascii="Times New Roman" w:eastAsia="Times New Roman" w:hAnsi="Times New Roman" w:cs="Times New Roman"/>
          <w:color w:val="000000"/>
        </w:rPr>
        <w:t>Madabhushi</w:t>
      </w:r>
      <w:proofErr w:type="spellEnd"/>
      <w:r w:rsidRPr="002D6EB6">
        <w:rPr>
          <w:rFonts w:ascii="Times New Roman" w:eastAsia="Times New Roman" w:hAnsi="Times New Roman" w:cs="Times New Roman"/>
          <w:color w:val="000000"/>
        </w:rPr>
        <w:t xml:space="preserve"> A, Shah P, Spitzer M, Zhao S (2019) Applications of machine learning in drug discovery and development. Nat Rev Drug </w:t>
      </w:r>
      <w:proofErr w:type="spellStart"/>
      <w:r w:rsidRPr="002D6EB6">
        <w:rPr>
          <w:rFonts w:ascii="Times New Roman" w:eastAsia="Times New Roman" w:hAnsi="Times New Roman" w:cs="Times New Roman"/>
          <w:color w:val="000000"/>
        </w:rPr>
        <w:t>Discov</w:t>
      </w:r>
      <w:proofErr w:type="spellEnd"/>
      <w:r w:rsidRPr="002D6EB6">
        <w:rPr>
          <w:rFonts w:ascii="Times New Roman" w:eastAsia="Times New Roman" w:hAnsi="Times New Roman" w:cs="Times New Roman"/>
          <w:color w:val="000000"/>
        </w:rPr>
        <w:t xml:space="preserve"> 18:463-477. </w:t>
      </w:r>
      <w:hyperlink r:id="rId30" w:history="1">
        <w:r w:rsidRPr="00293FE1">
          <w:rPr>
            <w:rStyle w:val="Hyperlink"/>
            <w:rFonts w:ascii="Times New Roman" w:eastAsia="Times New Roman" w:hAnsi="Times New Roman" w:cs="Times New Roman"/>
            <w:u w:val="none"/>
          </w:rPr>
          <w:t>https://doi.org/10.1038/s41573-019-0024-5</w:t>
        </w:r>
      </w:hyperlink>
    </w:p>
    <w:p w14:paraId="10E7FD83" w14:textId="1C3EBB94" w:rsidR="002D6EB6" w:rsidRPr="00293FE1"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 xml:space="preserve">Zhao Y, He X, Wan Q (2024) Combined machine learning models, docking analysis, ADMET studies and molecular dynamics simulations for the design of novel FAK inhibitors against glioblastoma. BMC Chem 18:203. </w:t>
      </w:r>
      <w:hyperlink r:id="rId31" w:history="1">
        <w:r w:rsidRPr="00293FE1">
          <w:rPr>
            <w:rStyle w:val="Hyperlink"/>
            <w:rFonts w:ascii="Times New Roman" w:eastAsia="Times New Roman" w:hAnsi="Times New Roman" w:cs="Times New Roman"/>
            <w:u w:val="none"/>
          </w:rPr>
          <w:t>https://doi.org/10.1186/s13065-024-01316-x</w:t>
        </w:r>
      </w:hyperlink>
    </w:p>
    <w:p w14:paraId="34590391" w14:textId="33C09170" w:rsidR="002D6EB6" w:rsidRPr="00293FE1" w:rsidRDefault="002D6EB6" w:rsidP="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Islam A, Jena D, Mondal NS, Teli A, Mondal S, Gautam MK (2025) In-silico approaches for drug designing technology: Bridging discovery and development. Curr DrugDiscovTechnol</w:t>
      </w:r>
      <w:proofErr w:type="gramStart"/>
      <w:r w:rsidRPr="002D6EB6">
        <w:rPr>
          <w:rFonts w:ascii="Times New Roman" w:eastAsia="Times New Roman" w:hAnsi="Times New Roman" w:cs="Times New Roman"/>
          <w:color w:val="000000"/>
        </w:rPr>
        <w:t>22:e</w:t>
      </w:r>
      <w:proofErr w:type="gramEnd"/>
      <w:r w:rsidRPr="002D6EB6">
        <w:rPr>
          <w:rFonts w:ascii="Times New Roman" w:eastAsia="Times New Roman" w:hAnsi="Times New Roman" w:cs="Times New Roman"/>
          <w:color w:val="000000"/>
        </w:rPr>
        <w:t>15701638326869.</w:t>
      </w:r>
      <w:hyperlink r:id="rId32" w:history="1">
        <w:r w:rsidRPr="00293FE1">
          <w:rPr>
            <w:rStyle w:val="Hyperlink"/>
            <w:rFonts w:ascii="Times New Roman" w:eastAsia="Times New Roman" w:hAnsi="Times New Roman" w:cs="Times New Roman"/>
            <w:u w:val="none"/>
          </w:rPr>
          <w:t>https://doi.org/10.2174/0115701638326869250207060616</w:t>
        </w:r>
      </w:hyperlink>
    </w:p>
    <w:p w14:paraId="2D2F3B78" w14:textId="714979C8" w:rsidR="002D6EB6"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lastRenderedPageBreak/>
        <w:t xml:space="preserve">Sanober MD, Mamidala E (2026) Apigenin derivatives as promising norovirus </w:t>
      </w:r>
      <w:proofErr w:type="spellStart"/>
      <w:r w:rsidRPr="002D6EB6">
        <w:rPr>
          <w:rFonts w:ascii="Times New Roman" w:eastAsia="Times New Roman" w:hAnsi="Times New Roman" w:cs="Times New Roman"/>
          <w:color w:val="000000"/>
        </w:rPr>
        <w:t>RdRp</w:t>
      </w:r>
      <w:proofErr w:type="spellEnd"/>
      <w:r w:rsidRPr="002D6EB6">
        <w:rPr>
          <w:rFonts w:ascii="Times New Roman" w:eastAsia="Times New Roman" w:hAnsi="Times New Roman" w:cs="Times New Roman"/>
          <w:color w:val="000000"/>
        </w:rPr>
        <w:t xml:space="preserve"> inhibitors: insights from in silico docking and molecular dynamics studies. </w:t>
      </w:r>
      <w:proofErr w:type="spellStart"/>
      <w:r w:rsidRPr="002D6EB6">
        <w:rPr>
          <w:rFonts w:ascii="Times New Roman" w:eastAsia="Times New Roman" w:hAnsi="Times New Roman" w:cs="Times New Roman"/>
          <w:color w:val="000000"/>
        </w:rPr>
        <w:t>Xenobiotica</w:t>
      </w:r>
      <w:proofErr w:type="spellEnd"/>
      <w:r w:rsidRPr="002D6EB6">
        <w:rPr>
          <w:rFonts w:ascii="Times New Roman" w:eastAsia="Times New Roman" w:hAnsi="Times New Roman" w:cs="Times New Roman"/>
          <w:color w:val="000000"/>
        </w:rPr>
        <w:t xml:space="preserve"> 56:121-131. </w:t>
      </w:r>
      <w:hyperlink r:id="rId33" w:history="1">
        <w:r w:rsidRPr="00293FE1">
          <w:rPr>
            <w:rStyle w:val="Hyperlink"/>
            <w:rFonts w:ascii="Times New Roman" w:eastAsia="Times New Roman" w:hAnsi="Times New Roman" w:cs="Times New Roman"/>
            <w:u w:val="none"/>
          </w:rPr>
          <w:t>https://doi.org/10.1080/00498254.2025.2566212</w:t>
        </w:r>
      </w:hyperlink>
    </w:p>
    <w:p w14:paraId="5CB0CC48" w14:textId="3B78C039" w:rsidR="002D6EB6"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 xml:space="preserve">Moonsamy S, Dash RC, Soliman ME (2014) Integrated computational tools for identification of CCR5 antagonists as potential HIV-1 entry inhibitors: homology modeling, virtual screening, molecular dynamics simulations and 3D QSAR analysis. Molecules 19:5243-5265. </w:t>
      </w:r>
      <w:hyperlink r:id="rId34" w:history="1">
        <w:r w:rsidRPr="00293FE1">
          <w:rPr>
            <w:rStyle w:val="Hyperlink"/>
            <w:rFonts w:ascii="Times New Roman" w:eastAsia="Times New Roman" w:hAnsi="Times New Roman" w:cs="Times New Roman"/>
            <w:u w:val="none"/>
          </w:rPr>
          <w:t>https://doi.org/10.3390/molecules19045243</w:t>
        </w:r>
      </w:hyperlink>
    </w:p>
    <w:p w14:paraId="292A2E5E" w14:textId="0B597315" w:rsidR="002D6EB6"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 xml:space="preserve">Mei S (2024) Predicting health effects of food compounds via ensemble machine learning. Int J Food Sci </w:t>
      </w:r>
      <w:proofErr w:type="spellStart"/>
      <w:r w:rsidRPr="002D6EB6">
        <w:rPr>
          <w:rFonts w:ascii="Times New Roman" w:eastAsia="Times New Roman" w:hAnsi="Times New Roman" w:cs="Times New Roman"/>
          <w:color w:val="000000"/>
        </w:rPr>
        <w:t>Technol</w:t>
      </w:r>
      <w:proofErr w:type="spellEnd"/>
      <w:r w:rsidRPr="002D6EB6">
        <w:rPr>
          <w:rFonts w:ascii="Times New Roman" w:eastAsia="Times New Roman" w:hAnsi="Times New Roman" w:cs="Times New Roman"/>
          <w:color w:val="000000"/>
        </w:rPr>
        <w:t xml:space="preserve"> 59:2547-2557. </w:t>
      </w:r>
      <w:hyperlink r:id="rId35" w:history="1">
        <w:r w:rsidRPr="00293FE1">
          <w:rPr>
            <w:rStyle w:val="Hyperlink"/>
            <w:rFonts w:ascii="Times New Roman" w:eastAsia="Times New Roman" w:hAnsi="Times New Roman" w:cs="Times New Roman"/>
            <w:u w:val="none"/>
          </w:rPr>
          <w:t>https://doi.org/10.1111/ijfs.16992</w:t>
        </w:r>
      </w:hyperlink>
    </w:p>
    <w:p w14:paraId="71A4157A" w14:textId="783D117F" w:rsidR="002D6EB6" w:rsidRDefault="002D6EB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2D6EB6">
        <w:rPr>
          <w:rFonts w:ascii="Times New Roman" w:eastAsia="Times New Roman" w:hAnsi="Times New Roman" w:cs="Times New Roman"/>
          <w:color w:val="000000"/>
        </w:rPr>
        <w:t xml:space="preserve">Ramachandran R, Aathi M, Ruban DD, </w:t>
      </w:r>
      <w:proofErr w:type="spellStart"/>
      <w:r w:rsidRPr="002D6EB6">
        <w:rPr>
          <w:rFonts w:ascii="Times New Roman" w:eastAsia="Times New Roman" w:hAnsi="Times New Roman" w:cs="Times New Roman"/>
          <w:color w:val="000000"/>
        </w:rPr>
        <w:t>Piramanyagam</w:t>
      </w:r>
      <w:proofErr w:type="spellEnd"/>
      <w:r w:rsidRPr="002D6EB6">
        <w:rPr>
          <w:rFonts w:ascii="Times New Roman" w:eastAsia="Times New Roman" w:hAnsi="Times New Roman" w:cs="Times New Roman"/>
          <w:color w:val="000000"/>
        </w:rPr>
        <w:t xml:space="preserve"> S (2017) Computational screening of CCR5 inhibitors as potential entry inhibitor microbicides using 3D-QSAR studies, docking and molecular dynamics simulation. Curr HIV Res 15:234-244. </w:t>
      </w:r>
      <w:hyperlink r:id="rId36" w:history="1">
        <w:r w:rsidRPr="00293FE1">
          <w:rPr>
            <w:rStyle w:val="Hyperlink"/>
            <w:rFonts w:ascii="Times New Roman" w:eastAsia="Times New Roman" w:hAnsi="Times New Roman" w:cs="Times New Roman"/>
            <w:u w:val="none"/>
          </w:rPr>
          <w:t>https://doi.org/10.2174/1570162X15666170106124216</w:t>
        </w:r>
      </w:hyperlink>
    </w:p>
    <w:p w14:paraId="5CEC4043" w14:textId="25424C3C" w:rsidR="00641B4C"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Wiens M, Verone-Boyle A, Henscheid N, </w:t>
      </w:r>
      <w:proofErr w:type="spellStart"/>
      <w:r w:rsidRPr="00641B4C">
        <w:rPr>
          <w:rFonts w:ascii="Times New Roman" w:eastAsia="Times New Roman" w:hAnsi="Times New Roman" w:cs="Times New Roman"/>
          <w:color w:val="000000"/>
        </w:rPr>
        <w:t>Podichetty</w:t>
      </w:r>
      <w:proofErr w:type="spellEnd"/>
      <w:r w:rsidRPr="00641B4C">
        <w:rPr>
          <w:rFonts w:ascii="Times New Roman" w:eastAsia="Times New Roman" w:hAnsi="Times New Roman" w:cs="Times New Roman"/>
          <w:color w:val="000000"/>
        </w:rPr>
        <w:t xml:space="preserve"> JT, Burton J (2025) A tutorial and use case example of the </w:t>
      </w:r>
      <w:proofErr w:type="spellStart"/>
      <w:r w:rsidRPr="00641B4C">
        <w:rPr>
          <w:rFonts w:ascii="Times New Roman" w:eastAsia="Times New Roman" w:hAnsi="Times New Roman" w:cs="Times New Roman"/>
          <w:color w:val="000000"/>
        </w:rPr>
        <w:t>eXtreme</w:t>
      </w:r>
      <w:proofErr w:type="spellEnd"/>
      <w:r w:rsidRPr="00641B4C">
        <w:rPr>
          <w:rFonts w:ascii="Times New Roman" w:eastAsia="Times New Roman" w:hAnsi="Times New Roman" w:cs="Times New Roman"/>
          <w:color w:val="000000"/>
        </w:rPr>
        <w:t xml:space="preserve"> gradient boosting (XGBoost) artificial intelligence algorithm for drug development applications. Clin </w:t>
      </w:r>
      <w:proofErr w:type="spellStart"/>
      <w:r w:rsidRPr="00641B4C">
        <w:rPr>
          <w:rFonts w:ascii="Times New Roman" w:eastAsia="Times New Roman" w:hAnsi="Times New Roman" w:cs="Times New Roman"/>
          <w:color w:val="000000"/>
        </w:rPr>
        <w:t>Transl</w:t>
      </w:r>
      <w:proofErr w:type="spellEnd"/>
      <w:r w:rsidRPr="00641B4C">
        <w:rPr>
          <w:rFonts w:ascii="Times New Roman" w:eastAsia="Times New Roman" w:hAnsi="Times New Roman" w:cs="Times New Roman"/>
          <w:color w:val="000000"/>
        </w:rPr>
        <w:t xml:space="preserve"> Sci </w:t>
      </w:r>
      <w:proofErr w:type="gramStart"/>
      <w:r w:rsidRPr="00641B4C">
        <w:rPr>
          <w:rFonts w:ascii="Times New Roman" w:eastAsia="Times New Roman" w:hAnsi="Times New Roman" w:cs="Times New Roman"/>
          <w:color w:val="000000"/>
        </w:rPr>
        <w:t>18:e</w:t>
      </w:r>
      <w:proofErr w:type="gramEnd"/>
      <w:r w:rsidRPr="00641B4C">
        <w:rPr>
          <w:rFonts w:ascii="Times New Roman" w:eastAsia="Times New Roman" w:hAnsi="Times New Roman" w:cs="Times New Roman"/>
          <w:color w:val="000000"/>
        </w:rPr>
        <w:t xml:space="preserve">70172. </w:t>
      </w:r>
      <w:hyperlink r:id="rId37" w:history="1">
        <w:r w:rsidRPr="00293FE1">
          <w:rPr>
            <w:rStyle w:val="Hyperlink"/>
            <w:rFonts w:ascii="Times New Roman" w:eastAsia="Times New Roman" w:hAnsi="Times New Roman" w:cs="Times New Roman"/>
            <w:u w:val="none"/>
          </w:rPr>
          <w:t>https://doi.org/10.1111/cts.70172</w:t>
        </w:r>
      </w:hyperlink>
    </w:p>
    <w:p w14:paraId="2CD956DF" w14:textId="5A67D3AB" w:rsidR="00641B4C" w:rsidRPr="00293FE1"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Gilson MK, Liu T, </w:t>
      </w:r>
      <w:proofErr w:type="spellStart"/>
      <w:r w:rsidRPr="00641B4C">
        <w:rPr>
          <w:rFonts w:ascii="Times New Roman" w:eastAsia="Times New Roman" w:hAnsi="Times New Roman" w:cs="Times New Roman"/>
          <w:color w:val="000000"/>
        </w:rPr>
        <w:t>Baitaluk</w:t>
      </w:r>
      <w:proofErr w:type="spellEnd"/>
      <w:r w:rsidRPr="00641B4C">
        <w:rPr>
          <w:rFonts w:ascii="Times New Roman" w:eastAsia="Times New Roman" w:hAnsi="Times New Roman" w:cs="Times New Roman"/>
          <w:color w:val="000000"/>
        </w:rPr>
        <w:t xml:space="preserve"> M, Nicola G, Hwang L, Chong J (2016) </w:t>
      </w:r>
      <w:proofErr w:type="spellStart"/>
      <w:r w:rsidRPr="00641B4C">
        <w:rPr>
          <w:rFonts w:ascii="Times New Roman" w:eastAsia="Times New Roman" w:hAnsi="Times New Roman" w:cs="Times New Roman"/>
          <w:color w:val="000000"/>
        </w:rPr>
        <w:t>BindingDB</w:t>
      </w:r>
      <w:proofErr w:type="spellEnd"/>
      <w:r w:rsidRPr="00641B4C">
        <w:rPr>
          <w:rFonts w:ascii="Times New Roman" w:eastAsia="Times New Roman" w:hAnsi="Times New Roman" w:cs="Times New Roman"/>
          <w:color w:val="000000"/>
        </w:rPr>
        <w:t xml:space="preserve"> in 2015: A public database for medicinal chemistry, computational chemistry and systems pharmacology. Nucleic Acids Res </w:t>
      </w:r>
      <w:proofErr w:type="gramStart"/>
      <w:r w:rsidRPr="00641B4C">
        <w:rPr>
          <w:rFonts w:ascii="Times New Roman" w:eastAsia="Times New Roman" w:hAnsi="Times New Roman" w:cs="Times New Roman"/>
          <w:color w:val="000000"/>
        </w:rPr>
        <w:t>44:D</w:t>
      </w:r>
      <w:proofErr w:type="gramEnd"/>
      <w:r w:rsidRPr="00641B4C">
        <w:rPr>
          <w:rFonts w:ascii="Times New Roman" w:eastAsia="Times New Roman" w:hAnsi="Times New Roman" w:cs="Times New Roman"/>
          <w:color w:val="000000"/>
        </w:rPr>
        <w:t xml:space="preserve">1045-D1053. </w:t>
      </w:r>
      <w:hyperlink r:id="rId38" w:history="1">
        <w:r w:rsidRPr="00293FE1">
          <w:rPr>
            <w:rStyle w:val="Hyperlink"/>
            <w:rFonts w:ascii="Times New Roman" w:eastAsia="Times New Roman" w:hAnsi="Times New Roman" w:cs="Times New Roman"/>
            <w:u w:val="none"/>
          </w:rPr>
          <w:t>https://doi.org/10.1093/nar/gkv1072</w:t>
        </w:r>
      </w:hyperlink>
    </w:p>
    <w:p w14:paraId="0125CF11" w14:textId="64B80A3A" w:rsidR="00641B4C"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Kim S, Chen J, Cheng T, </w:t>
      </w:r>
      <w:proofErr w:type="spellStart"/>
      <w:r w:rsidRPr="00641B4C">
        <w:rPr>
          <w:rFonts w:ascii="Times New Roman" w:eastAsia="Times New Roman" w:hAnsi="Times New Roman" w:cs="Times New Roman"/>
          <w:color w:val="000000"/>
        </w:rPr>
        <w:t>Gindulyte</w:t>
      </w:r>
      <w:proofErr w:type="spellEnd"/>
      <w:r w:rsidRPr="00641B4C">
        <w:rPr>
          <w:rFonts w:ascii="Times New Roman" w:eastAsia="Times New Roman" w:hAnsi="Times New Roman" w:cs="Times New Roman"/>
          <w:color w:val="000000"/>
        </w:rPr>
        <w:t xml:space="preserve"> A, He J, He S, Li Q, Shoemaker BA, Thiessen PA, Yu B, Zaslavsky L, Zhang J, Bolton EE (2025) PubChem 2025 update. Nucleic Acids Res </w:t>
      </w:r>
      <w:proofErr w:type="gramStart"/>
      <w:r w:rsidRPr="00641B4C">
        <w:rPr>
          <w:rFonts w:ascii="Times New Roman" w:eastAsia="Times New Roman" w:hAnsi="Times New Roman" w:cs="Times New Roman"/>
          <w:color w:val="000000"/>
        </w:rPr>
        <w:t>53:D</w:t>
      </w:r>
      <w:proofErr w:type="gramEnd"/>
      <w:r w:rsidRPr="00641B4C">
        <w:rPr>
          <w:rFonts w:ascii="Times New Roman" w:eastAsia="Times New Roman" w:hAnsi="Times New Roman" w:cs="Times New Roman"/>
          <w:color w:val="000000"/>
        </w:rPr>
        <w:t>1516-D1525</w:t>
      </w:r>
      <w:r w:rsidRPr="00293FE1">
        <w:rPr>
          <w:rFonts w:ascii="Times New Roman" w:eastAsia="Times New Roman" w:hAnsi="Times New Roman" w:cs="Times New Roman"/>
          <w:color w:val="000000"/>
        </w:rPr>
        <w:t xml:space="preserve">. </w:t>
      </w:r>
      <w:hyperlink r:id="rId39" w:history="1">
        <w:r w:rsidRPr="00293FE1">
          <w:rPr>
            <w:rStyle w:val="Hyperlink"/>
            <w:rFonts w:ascii="Times New Roman" w:eastAsia="Times New Roman" w:hAnsi="Times New Roman" w:cs="Times New Roman"/>
            <w:u w:val="none"/>
          </w:rPr>
          <w:t>https://doi.org/10.1093/nar/gkae1059</w:t>
        </w:r>
      </w:hyperlink>
    </w:p>
    <w:p w14:paraId="1ADCF34A" w14:textId="13DC2FE3"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RDKit</w:t>
      </w:r>
      <w:proofErr w:type="spellEnd"/>
      <w:r>
        <w:rPr>
          <w:rFonts w:ascii="Times New Roman" w:eastAsia="Times New Roman" w:hAnsi="Times New Roman" w:cs="Times New Roman"/>
          <w:color w:val="000000"/>
        </w:rPr>
        <w:t xml:space="preserve">, Open-source cheminformatics software, </w:t>
      </w:r>
      <w:proofErr w:type="spellStart"/>
      <w:r>
        <w:rPr>
          <w:rFonts w:ascii="Times New Roman" w:eastAsia="Times New Roman" w:hAnsi="Times New Roman" w:cs="Times New Roman"/>
          <w:color w:val="000000"/>
        </w:rPr>
        <w:t>RDKit</w:t>
      </w:r>
      <w:proofErr w:type="spellEnd"/>
      <w:r>
        <w:rPr>
          <w:rFonts w:ascii="Times New Roman" w:eastAsia="Times New Roman" w:hAnsi="Times New Roman" w:cs="Times New Roman"/>
          <w:color w:val="000000"/>
        </w:rPr>
        <w:t xml:space="preserve"> Project (accessed 2026).</w:t>
      </w:r>
    </w:p>
    <w:p w14:paraId="6220B798" w14:textId="0EF826D0" w:rsidR="00641B4C"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Rogers D, Hahn M (2010) Extended-connectivity fingerprints. J Chem Inf Model 50:742-754. </w:t>
      </w:r>
      <w:hyperlink r:id="rId40" w:history="1">
        <w:r w:rsidRPr="00293FE1">
          <w:rPr>
            <w:rStyle w:val="Hyperlink"/>
            <w:rFonts w:ascii="Times New Roman" w:eastAsia="Times New Roman" w:hAnsi="Times New Roman" w:cs="Times New Roman"/>
            <w:u w:val="none"/>
          </w:rPr>
          <w:t>https://doi.org/10.1021/ci100050t</w:t>
        </w:r>
      </w:hyperlink>
    </w:p>
    <w:p w14:paraId="0342D28F" w14:textId="62473DF4"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Python Software Foundation, Python language reference, version 3.12.3 [software], Python Software Foundation (accessed 2026).</w:t>
      </w:r>
    </w:p>
    <w:p w14:paraId="359458D8"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Anaconda Inc., Anaconda Distribution, version 2026.10 [software], Anaconda Inc. (accessed 2026).</w:t>
      </w:r>
    </w:p>
    <w:p w14:paraId="17212659"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Spyder Project Contributors, Spyder: The scientific Python development environment [software], Spyder Project (accessed 2026).</w:t>
      </w:r>
    </w:p>
    <w:p w14:paraId="3106006A" w14:textId="1BD6FB54" w:rsidR="00641B4C"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Chen T, </w:t>
      </w:r>
      <w:proofErr w:type="spellStart"/>
      <w:r w:rsidRPr="00641B4C">
        <w:rPr>
          <w:rFonts w:ascii="Times New Roman" w:eastAsia="Times New Roman" w:hAnsi="Times New Roman" w:cs="Times New Roman"/>
          <w:color w:val="000000"/>
        </w:rPr>
        <w:t>Guestrin</w:t>
      </w:r>
      <w:proofErr w:type="spellEnd"/>
      <w:r w:rsidRPr="00641B4C">
        <w:rPr>
          <w:rFonts w:ascii="Times New Roman" w:eastAsia="Times New Roman" w:hAnsi="Times New Roman" w:cs="Times New Roman"/>
          <w:color w:val="000000"/>
        </w:rPr>
        <w:t xml:space="preserve"> C (2016) XGBoost: A scalable tree boosting system. In: Proceedings of the 22nd ACM SIGKDD International Conference on Knowledge Discovery and Data Mining, pp 785-794. </w:t>
      </w:r>
      <w:hyperlink r:id="rId41" w:history="1">
        <w:r w:rsidRPr="00293FE1">
          <w:rPr>
            <w:rStyle w:val="Hyperlink"/>
            <w:rFonts w:ascii="Times New Roman" w:eastAsia="Times New Roman" w:hAnsi="Times New Roman" w:cs="Times New Roman"/>
            <w:u w:val="none"/>
          </w:rPr>
          <w:t>https://doi.org/10.1145/2939672.2939785</w:t>
        </w:r>
      </w:hyperlink>
    </w:p>
    <w:p w14:paraId="5018133F" w14:textId="09A2122C" w:rsidR="00641B4C"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Saito T, </w:t>
      </w:r>
      <w:proofErr w:type="spellStart"/>
      <w:r w:rsidRPr="00641B4C">
        <w:rPr>
          <w:rFonts w:ascii="Times New Roman" w:eastAsia="Times New Roman" w:hAnsi="Times New Roman" w:cs="Times New Roman"/>
          <w:color w:val="000000"/>
        </w:rPr>
        <w:t>Rehmsmeier</w:t>
      </w:r>
      <w:proofErr w:type="spellEnd"/>
      <w:r w:rsidRPr="00641B4C">
        <w:rPr>
          <w:rFonts w:ascii="Times New Roman" w:eastAsia="Times New Roman" w:hAnsi="Times New Roman" w:cs="Times New Roman"/>
          <w:color w:val="000000"/>
        </w:rPr>
        <w:t xml:space="preserve"> M (2015) The precision-recall plot is more informative than the ROC plot when evaluating binary classifiers on imbalanced datasets. </w:t>
      </w:r>
      <w:proofErr w:type="spellStart"/>
      <w:r w:rsidRPr="00641B4C">
        <w:rPr>
          <w:rFonts w:ascii="Times New Roman" w:eastAsia="Times New Roman" w:hAnsi="Times New Roman" w:cs="Times New Roman"/>
          <w:color w:val="000000"/>
        </w:rPr>
        <w:t>PLoS</w:t>
      </w:r>
      <w:proofErr w:type="spellEnd"/>
      <w:r w:rsidRPr="00641B4C">
        <w:rPr>
          <w:rFonts w:ascii="Times New Roman" w:eastAsia="Times New Roman" w:hAnsi="Times New Roman" w:cs="Times New Roman"/>
          <w:color w:val="000000"/>
        </w:rPr>
        <w:t xml:space="preserve"> One </w:t>
      </w:r>
      <w:proofErr w:type="gramStart"/>
      <w:r w:rsidRPr="00641B4C">
        <w:rPr>
          <w:rFonts w:ascii="Times New Roman" w:eastAsia="Times New Roman" w:hAnsi="Times New Roman" w:cs="Times New Roman"/>
          <w:color w:val="000000"/>
        </w:rPr>
        <w:t>10:e</w:t>
      </w:r>
      <w:proofErr w:type="gramEnd"/>
      <w:r w:rsidRPr="00641B4C">
        <w:rPr>
          <w:rFonts w:ascii="Times New Roman" w:eastAsia="Times New Roman" w:hAnsi="Times New Roman" w:cs="Times New Roman"/>
          <w:color w:val="000000"/>
        </w:rPr>
        <w:t xml:space="preserve">0118432. </w:t>
      </w:r>
      <w:hyperlink r:id="rId42" w:history="1">
        <w:r w:rsidRPr="00293FE1">
          <w:rPr>
            <w:rStyle w:val="Hyperlink"/>
            <w:rFonts w:ascii="Times New Roman" w:eastAsia="Times New Roman" w:hAnsi="Times New Roman" w:cs="Times New Roman"/>
            <w:u w:val="none"/>
          </w:rPr>
          <w:t>https://doi.org/10.1371/journal.pone.0118432</w:t>
        </w:r>
      </w:hyperlink>
    </w:p>
    <w:p w14:paraId="447936AF" w14:textId="0862C479"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FooDB, The Food Database, University of Alberta, Canada (accessed 2026).</w:t>
      </w:r>
    </w:p>
    <w:p w14:paraId="4871A12A" w14:textId="12C3E00A" w:rsidR="00641B4C" w:rsidRPr="00293FE1"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Lipinski CA, Lombardo F, Dominy BW, Feeney PJ (2001) Experimental and computational approaches to estimate solubility and permeability in drug discovery and development settings. Adv Drug Deliv Rev 46:3-26. </w:t>
      </w:r>
      <w:hyperlink r:id="rId43" w:history="1">
        <w:r w:rsidRPr="00293FE1">
          <w:rPr>
            <w:rStyle w:val="Hyperlink"/>
            <w:rFonts w:ascii="Times New Roman" w:eastAsia="Times New Roman" w:hAnsi="Times New Roman" w:cs="Times New Roman"/>
            <w:u w:val="none"/>
          </w:rPr>
          <w:t>https://doi.org/10.1016/S0169-409X(00)00129-0</w:t>
        </w:r>
      </w:hyperlink>
    </w:p>
    <w:p w14:paraId="528890B0" w14:textId="119EDD17" w:rsidR="00641B4C"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lastRenderedPageBreak/>
        <w:t xml:space="preserve">Ghose AK, </w:t>
      </w:r>
      <w:proofErr w:type="spellStart"/>
      <w:r w:rsidRPr="00641B4C">
        <w:rPr>
          <w:rFonts w:ascii="Times New Roman" w:eastAsia="Times New Roman" w:hAnsi="Times New Roman" w:cs="Times New Roman"/>
          <w:color w:val="000000"/>
        </w:rPr>
        <w:t>Viswanadhan</w:t>
      </w:r>
      <w:proofErr w:type="spellEnd"/>
      <w:r w:rsidRPr="00641B4C">
        <w:rPr>
          <w:rFonts w:ascii="Times New Roman" w:eastAsia="Times New Roman" w:hAnsi="Times New Roman" w:cs="Times New Roman"/>
          <w:color w:val="000000"/>
        </w:rPr>
        <w:t xml:space="preserve"> VN, </w:t>
      </w:r>
      <w:proofErr w:type="spellStart"/>
      <w:r w:rsidRPr="00641B4C">
        <w:rPr>
          <w:rFonts w:ascii="Times New Roman" w:eastAsia="Times New Roman" w:hAnsi="Times New Roman" w:cs="Times New Roman"/>
          <w:color w:val="000000"/>
        </w:rPr>
        <w:t>Wendoloski</w:t>
      </w:r>
      <w:proofErr w:type="spellEnd"/>
      <w:r w:rsidRPr="00641B4C">
        <w:rPr>
          <w:rFonts w:ascii="Times New Roman" w:eastAsia="Times New Roman" w:hAnsi="Times New Roman" w:cs="Times New Roman"/>
          <w:color w:val="000000"/>
        </w:rPr>
        <w:t xml:space="preserve"> JJ (1999) A knowledge-based approach in designing combinatorial or medicinal chemistry libraries for drug discovery. 1. A qualitative and quantitative characterization of known drug databases. J Comb Chem 1:55-68. </w:t>
      </w:r>
      <w:hyperlink r:id="rId44" w:history="1">
        <w:r w:rsidRPr="00293FE1">
          <w:rPr>
            <w:rStyle w:val="Hyperlink"/>
            <w:rFonts w:ascii="Times New Roman" w:eastAsia="Times New Roman" w:hAnsi="Times New Roman" w:cs="Times New Roman"/>
            <w:u w:val="none"/>
          </w:rPr>
          <w:t>https://doi.org/10.1021/cc9800071</w:t>
        </w:r>
      </w:hyperlink>
    </w:p>
    <w:p w14:paraId="5A4B43BE" w14:textId="3C080076" w:rsidR="00641B4C" w:rsidRPr="00293FE1" w:rsidRDefault="00641B4C">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41B4C">
        <w:rPr>
          <w:rFonts w:ascii="Times New Roman" w:eastAsia="Times New Roman" w:hAnsi="Times New Roman" w:cs="Times New Roman"/>
          <w:color w:val="000000"/>
        </w:rPr>
        <w:t xml:space="preserve">Veber DF, Johnson SR, Cheng HY, Smith BR, Ward KW, Kopple KD (2002) Molecular properties that influence the oral bioavailability of drug candidates. J Med Chem 45:2615-2623. </w:t>
      </w:r>
      <w:hyperlink r:id="rId45" w:history="1">
        <w:r w:rsidRPr="00293FE1">
          <w:rPr>
            <w:rStyle w:val="Hyperlink"/>
            <w:rFonts w:ascii="Times New Roman" w:eastAsia="Times New Roman" w:hAnsi="Times New Roman" w:cs="Times New Roman"/>
            <w:u w:val="none"/>
          </w:rPr>
          <w:t>https://doi.org/10.1021/jm020017n</w:t>
        </w:r>
      </w:hyperlink>
    </w:p>
    <w:p w14:paraId="7FF0FD7B" w14:textId="6135DB72"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Egan WJ, Merz KM Jr, Baldwin JJ (2000) Prediction of drug absorption using multivariate statistics. J Med Chem 43:3867-3877. </w:t>
      </w:r>
      <w:hyperlink r:id="rId46" w:history="1">
        <w:r w:rsidRPr="00293FE1">
          <w:rPr>
            <w:rStyle w:val="Hyperlink"/>
            <w:rFonts w:ascii="Times New Roman" w:eastAsia="Times New Roman" w:hAnsi="Times New Roman" w:cs="Times New Roman"/>
            <w:u w:val="none"/>
          </w:rPr>
          <w:t>https://doi.org/10.1021/jm000292e</w:t>
        </w:r>
      </w:hyperlink>
    </w:p>
    <w:p w14:paraId="4724C3A6" w14:textId="29C0AC5B"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Myung Y, de Sá AGC, Ascher DB (2024) Deep-PK: deep learning for small molecule pharmacokinetic and toxicity prediction. Nucleic Acids Res </w:t>
      </w:r>
      <w:proofErr w:type="gramStart"/>
      <w:r w:rsidRPr="00AD15D6">
        <w:rPr>
          <w:rFonts w:ascii="Times New Roman" w:eastAsia="Times New Roman" w:hAnsi="Times New Roman" w:cs="Times New Roman"/>
          <w:color w:val="000000"/>
        </w:rPr>
        <w:t>52:W</w:t>
      </w:r>
      <w:proofErr w:type="gramEnd"/>
      <w:r w:rsidRPr="00AD15D6">
        <w:rPr>
          <w:rFonts w:ascii="Times New Roman" w:eastAsia="Times New Roman" w:hAnsi="Times New Roman" w:cs="Times New Roman"/>
          <w:color w:val="000000"/>
        </w:rPr>
        <w:t xml:space="preserve">469-W475. </w:t>
      </w:r>
      <w:hyperlink r:id="rId47" w:history="1">
        <w:r w:rsidRPr="009950B3">
          <w:rPr>
            <w:rStyle w:val="Hyperlink"/>
            <w:rFonts w:ascii="Times New Roman" w:eastAsia="Times New Roman" w:hAnsi="Times New Roman" w:cs="Times New Roman"/>
            <w:u w:val="none"/>
          </w:rPr>
          <w:t>https://doi.org/10.1093/nar/gkae254</w:t>
        </w:r>
      </w:hyperlink>
    </w:p>
    <w:p w14:paraId="39318C1A" w14:textId="6CFD1F76"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Swapna K, Srujana M, Mamidala E (2024) Identification of steroidal cardenolides from Calotropis </w:t>
      </w:r>
      <w:proofErr w:type="spellStart"/>
      <w:r w:rsidRPr="00AD15D6">
        <w:rPr>
          <w:rFonts w:ascii="Times New Roman" w:eastAsia="Times New Roman" w:hAnsi="Times New Roman" w:cs="Times New Roman"/>
          <w:color w:val="000000"/>
        </w:rPr>
        <w:t>procera</w:t>
      </w:r>
      <w:proofErr w:type="spellEnd"/>
      <w:r w:rsidRPr="00AD15D6">
        <w:rPr>
          <w:rFonts w:ascii="Times New Roman" w:eastAsia="Times New Roman" w:hAnsi="Times New Roman" w:cs="Times New Roman"/>
          <w:color w:val="000000"/>
        </w:rPr>
        <w:t xml:space="preserve"> as novel HIV-1 PR inhibitors: A molecular docking &amp; molecular dynamics simulation study. Indian J Med Res 160:78-86. </w:t>
      </w:r>
      <w:hyperlink r:id="rId48" w:history="1">
        <w:r w:rsidRPr="009950B3">
          <w:rPr>
            <w:rStyle w:val="Hyperlink"/>
            <w:rFonts w:ascii="Times New Roman" w:eastAsia="Times New Roman" w:hAnsi="Times New Roman" w:cs="Times New Roman"/>
            <w:u w:val="none"/>
          </w:rPr>
          <w:t>https://doi.org/10.25259/IJMR_2115_23</w:t>
        </w:r>
      </w:hyperlink>
    </w:p>
    <w:p w14:paraId="1A2D495C" w14:textId="18DAA693" w:rsidR="00AD15D6" w:rsidRPr="009950B3"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Dorr P, Westby M, Dobbs S, Griffin P, Irvine B, Macartney M, Mori J, Rickett G, Smith-</w:t>
      </w:r>
      <w:proofErr w:type="spellStart"/>
      <w:r w:rsidRPr="00AD15D6">
        <w:rPr>
          <w:rFonts w:ascii="Times New Roman" w:eastAsia="Times New Roman" w:hAnsi="Times New Roman" w:cs="Times New Roman"/>
          <w:color w:val="000000"/>
        </w:rPr>
        <w:t>Burchnell</w:t>
      </w:r>
      <w:proofErr w:type="spellEnd"/>
      <w:r w:rsidRPr="00AD15D6">
        <w:rPr>
          <w:rFonts w:ascii="Times New Roman" w:eastAsia="Times New Roman" w:hAnsi="Times New Roman" w:cs="Times New Roman"/>
          <w:color w:val="000000"/>
        </w:rPr>
        <w:t xml:space="preserve"> C, Napier C, Webster R, Armour D, Price D, Stammen B, Wood A, Perros M (2005) Maraviroc (UK-427,857), a potent, orally bioavailable, and selective small-molecule inhibitor of chemokine receptor CCR5 with broad-spectrum anti-human immunodeficiency virus type 1 activity. </w:t>
      </w:r>
      <w:proofErr w:type="spellStart"/>
      <w:r w:rsidRPr="00AD15D6">
        <w:rPr>
          <w:rFonts w:ascii="Times New Roman" w:eastAsia="Times New Roman" w:hAnsi="Times New Roman" w:cs="Times New Roman"/>
          <w:color w:val="000000"/>
        </w:rPr>
        <w:t>Antimicrob</w:t>
      </w:r>
      <w:proofErr w:type="spellEnd"/>
      <w:r w:rsidRPr="00AD15D6">
        <w:rPr>
          <w:rFonts w:ascii="Times New Roman" w:eastAsia="Times New Roman" w:hAnsi="Times New Roman" w:cs="Times New Roman"/>
          <w:color w:val="000000"/>
        </w:rPr>
        <w:t xml:space="preserve"> Agents </w:t>
      </w:r>
      <w:proofErr w:type="spellStart"/>
      <w:r w:rsidRPr="00AD15D6">
        <w:rPr>
          <w:rFonts w:ascii="Times New Roman" w:eastAsia="Times New Roman" w:hAnsi="Times New Roman" w:cs="Times New Roman"/>
          <w:color w:val="000000"/>
        </w:rPr>
        <w:t>Chemother</w:t>
      </w:r>
      <w:proofErr w:type="spellEnd"/>
      <w:r w:rsidRPr="00AD15D6">
        <w:rPr>
          <w:rFonts w:ascii="Times New Roman" w:eastAsia="Times New Roman" w:hAnsi="Times New Roman" w:cs="Times New Roman"/>
          <w:color w:val="000000"/>
        </w:rPr>
        <w:t xml:space="preserve"> 49:4721-4732. </w:t>
      </w:r>
      <w:hyperlink r:id="rId49" w:history="1">
        <w:r w:rsidRPr="009950B3">
          <w:rPr>
            <w:rStyle w:val="Hyperlink"/>
            <w:rFonts w:ascii="Times New Roman" w:eastAsia="Times New Roman" w:hAnsi="Times New Roman" w:cs="Times New Roman"/>
            <w:u w:val="none"/>
          </w:rPr>
          <w:t>https://doi.org/10.1128/AAC.49.11.4721-4732.2005</w:t>
        </w:r>
      </w:hyperlink>
    </w:p>
    <w:p w14:paraId="33FEB577" w14:textId="5575BF6B"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Tan Q, Zhu Y, Li J, Chen Z, Han GW, </w:t>
      </w:r>
      <w:proofErr w:type="spellStart"/>
      <w:r w:rsidRPr="00AD15D6">
        <w:rPr>
          <w:rFonts w:ascii="Times New Roman" w:eastAsia="Times New Roman" w:hAnsi="Times New Roman" w:cs="Times New Roman"/>
          <w:color w:val="000000"/>
        </w:rPr>
        <w:t>Kufareva</w:t>
      </w:r>
      <w:proofErr w:type="spellEnd"/>
      <w:r w:rsidRPr="00AD15D6">
        <w:rPr>
          <w:rFonts w:ascii="Times New Roman" w:eastAsia="Times New Roman" w:hAnsi="Times New Roman" w:cs="Times New Roman"/>
          <w:color w:val="000000"/>
        </w:rPr>
        <w:t xml:space="preserve"> I, Li T, Ma L, </w:t>
      </w:r>
      <w:proofErr w:type="spellStart"/>
      <w:r w:rsidRPr="00AD15D6">
        <w:rPr>
          <w:rFonts w:ascii="Times New Roman" w:eastAsia="Times New Roman" w:hAnsi="Times New Roman" w:cs="Times New Roman"/>
          <w:color w:val="000000"/>
        </w:rPr>
        <w:t>Fenalti</w:t>
      </w:r>
      <w:proofErr w:type="spellEnd"/>
      <w:r w:rsidRPr="00AD15D6">
        <w:rPr>
          <w:rFonts w:ascii="Times New Roman" w:eastAsia="Times New Roman" w:hAnsi="Times New Roman" w:cs="Times New Roman"/>
          <w:color w:val="000000"/>
        </w:rPr>
        <w:t xml:space="preserve"> G, Li J, Zhang W, Xie X, Yang H, Jiang H, Cherezov V, Liu H, Stevens RC, Zhao Q, Wu B (2013) Structure of the CCR5 chemokine receptor-HIV entry inhibitor maraviroc complex. Science 341:1387-1390. </w:t>
      </w:r>
      <w:hyperlink r:id="rId50" w:history="1">
        <w:r w:rsidRPr="009950B3">
          <w:rPr>
            <w:rStyle w:val="Hyperlink"/>
            <w:rFonts w:ascii="Times New Roman" w:eastAsia="Times New Roman" w:hAnsi="Times New Roman" w:cs="Times New Roman"/>
            <w:u w:val="none"/>
          </w:rPr>
          <w:t>https://doi.org/10.1126/science.1241475</w:t>
        </w:r>
      </w:hyperlink>
    </w:p>
    <w:p w14:paraId="5377B84C" w14:textId="1E5813DD"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BIOVIA, Dassault Systèmes, Discovery Studio Visualizer software, Dassault Systèmes, San Diego, USA (2016).</w:t>
      </w:r>
    </w:p>
    <w:p w14:paraId="524F31E7" w14:textId="7DACECFA" w:rsidR="00AD15D6" w:rsidRPr="009950B3"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Seeliger D, de Groot BL (2010) Ligand docking and binding site analysis with </w:t>
      </w:r>
      <w:proofErr w:type="spellStart"/>
      <w:r w:rsidRPr="00AD15D6">
        <w:rPr>
          <w:rFonts w:ascii="Times New Roman" w:eastAsia="Times New Roman" w:hAnsi="Times New Roman" w:cs="Times New Roman"/>
          <w:color w:val="000000"/>
        </w:rPr>
        <w:t>PyMOL</w:t>
      </w:r>
      <w:proofErr w:type="spellEnd"/>
      <w:r w:rsidRPr="00AD15D6">
        <w:rPr>
          <w:rFonts w:ascii="Times New Roman" w:eastAsia="Times New Roman" w:hAnsi="Times New Roman" w:cs="Times New Roman"/>
          <w:color w:val="000000"/>
        </w:rPr>
        <w:t xml:space="preserve"> and </w:t>
      </w:r>
      <w:proofErr w:type="spellStart"/>
      <w:r w:rsidRPr="00AD15D6">
        <w:rPr>
          <w:rFonts w:ascii="Times New Roman" w:eastAsia="Times New Roman" w:hAnsi="Times New Roman" w:cs="Times New Roman"/>
          <w:color w:val="000000"/>
        </w:rPr>
        <w:t>AutoDock</w:t>
      </w:r>
      <w:proofErr w:type="spellEnd"/>
      <w:r w:rsidRPr="00AD15D6">
        <w:rPr>
          <w:rFonts w:ascii="Times New Roman" w:eastAsia="Times New Roman" w:hAnsi="Times New Roman" w:cs="Times New Roman"/>
          <w:color w:val="000000"/>
        </w:rPr>
        <w:t xml:space="preserve">/Vina. J </w:t>
      </w:r>
      <w:proofErr w:type="spellStart"/>
      <w:r w:rsidRPr="00AD15D6">
        <w:rPr>
          <w:rFonts w:ascii="Times New Roman" w:eastAsia="Times New Roman" w:hAnsi="Times New Roman" w:cs="Times New Roman"/>
          <w:color w:val="000000"/>
        </w:rPr>
        <w:t>Comput</w:t>
      </w:r>
      <w:proofErr w:type="spellEnd"/>
      <w:r w:rsidRPr="00AD15D6">
        <w:rPr>
          <w:rFonts w:ascii="Times New Roman" w:eastAsia="Times New Roman" w:hAnsi="Times New Roman" w:cs="Times New Roman"/>
          <w:color w:val="000000"/>
        </w:rPr>
        <w:t xml:space="preserve"> Aided Mol Des 24:417-422. </w:t>
      </w:r>
      <w:hyperlink r:id="rId51" w:history="1">
        <w:r w:rsidRPr="009950B3">
          <w:rPr>
            <w:rStyle w:val="Hyperlink"/>
            <w:rFonts w:ascii="Times New Roman" w:eastAsia="Times New Roman" w:hAnsi="Times New Roman" w:cs="Times New Roman"/>
            <w:u w:val="none"/>
          </w:rPr>
          <w:t>https://doi.org/10.1007/s10822-010-9352-6</w:t>
        </w:r>
      </w:hyperlink>
    </w:p>
    <w:p w14:paraId="0CD4B9BC" w14:textId="5670D49E" w:rsidR="00AD15D6" w:rsidRPr="009950B3"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O'Boyle NM, Banck M, James CA, et al. (2011) Open Babel: An open chemical toolbox. J </w:t>
      </w:r>
      <w:proofErr w:type="spellStart"/>
      <w:r w:rsidRPr="00AD15D6">
        <w:rPr>
          <w:rFonts w:ascii="Times New Roman" w:eastAsia="Times New Roman" w:hAnsi="Times New Roman" w:cs="Times New Roman"/>
          <w:color w:val="000000"/>
        </w:rPr>
        <w:t>Cheminform</w:t>
      </w:r>
      <w:proofErr w:type="spellEnd"/>
      <w:r w:rsidRPr="00AD15D6">
        <w:rPr>
          <w:rFonts w:ascii="Times New Roman" w:eastAsia="Times New Roman" w:hAnsi="Times New Roman" w:cs="Times New Roman"/>
          <w:color w:val="000000"/>
        </w:rPr>
        <w:t xml:space="preserve"> 3:33. </w:t>
      </w:r>
      <w:hyperlink r:id="rId52" w:history="1">
        <w:r w:rsidRPr="009950B3">
          <w:rPr>
            <w:rStyle w:val="Hyperlink"/>
            <w:rFonts w:ascii="Times New Roman" w:eastAsia="Times New Roman" w:hAnsi="Times New Roman" w:cs="Times New Roman"/>
            <w:u w:val="none"/>
          </w:rPr>
          <w:t>https://doi.org/10.1186/1758-2946-3-33</w:t>
        </w:r>
      </w:hyperlink>
    </w:p>
    <w:p w14:paraId="2739B257" w14:textId="1D2934B7"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Karplus M, Petsko GA (1990) Molecular dynamics simulations in biology. Nature 347:631-639. </w:t>
      </w:r>
      <w:hyperlink r:id="rId53" w:history="1">
        <w:r w:rsidRPr="009950B3">
          <w:rPr>
            <w:rStyle w:val="Hyperlink"/>
            <w:rFonts w:ascii="Times New Roman" w:eastAsia="Times New Roman" w:hAnsi="Times New Roman" w:cs="Times New Roman"/>
            <w:u w:val="none"/>
          </w:rPr>
          <w:t>https://doi.org/10.1038/347631a0</w:t>
        </w:r>
      </w:hyperlink>
    </w:p>
    <w:p w14:paraId="5467DFF3" w14:textId="53BB0B35"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Sathish Kumar A, Mamidala E (2026) Pharmacophore-based identification and molecular docking of CCR5 inhibitors: insights from dynamic simulations. J </w:t>
      </w:r>
      <w:proofErr w:type="spellStart"/>
      <w:r w:rsidRPr="00AD15D6">
        <w:rPr>
          <w:rFonts w:ascii="Times New Roman" w:eastAsia="Times New Roman" w:hAnsi="Times New Roman" w:cs="Times New Roman"/>
          <w:color w:val="000000"/>
        </w:rPr>
        <w:t>Recept</w:t>
      </w:r>
      <w:proofErr w:type="spellEnd"/>
      <w:r w:rsidRPr="00AD15D6">
        <w:rPr>
          <w:rFonts w:ascii="Times New Roman" w:eastAsia="Times New Roman" w:hAnsi="Times New Roman" w:cs="Times New Roman"/>
          <w:color w:val="000000"/>
        </w:rPr>
        <w:t xml:space="preserve"> Signal </w:t>
      </w:r>
      <w:proofErr w:type="spellStart"/>
      <w:r w:rsidRPr="00AD15D6">
        <w:rPr>
          <w:rFonts w:ascii="Times New Roman" w:eastAsia="Times New Roman" w:hAnsi="Times New Roman" w:cs="Times New Roman"/>
          <w:color w:val="000000"/>
        </w:rPr>
        <w:t>Transduct</w:t>
      </w:r>
      <w:proofErr w:type="spellEnd"/>
      <w:r w:rsidRPr="00AD15D6">
        <w:rPr>
          <w:rFonts w:ascii="Times New Roman" w:eastAsia="Times New Roman" w:hAnsi="Times New Roman" w:cs="Times New Roman"/>
          <w:color w:val="000000"/>
        </w:rPr>
        <w:t xml:space="preserve"> Res 46:113-121. </w:t>
      </w:r>
      <w:hyperlink r:id="rId54" w:history="1">
        <w:r w:rsidRPr="009950B3">
          <w:rPr>
            <w:rStyle w:val="Hyperlink"/>
            <w:rFonts w:ascii="Times New Roman" w:eastAsia="Times New Roman" w:hAnsi="Times New Roman" w:cs="Times New Roman"/>
            <w:u w:val="none"/>
          </w:rPr>
          <w:t>https://doi.org/10.1080/10799893.2026.2701217</w:t>
        </w:r>
      </w:hyperlink>
    </w:p>
    <w:p w14:paraId="0ED444EB" w14:textId="6D678180" w:rsidR="00AD15D6"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Badaya A, Sasidhar YU (2020) Inhibition of the activity of HIV-1 protease through antibody binding and mutations probed by molecular dynamics simulations. Sci Rep 10:5501. </w:t>
      </w:r>
      <w:hyperlink r:id="rId55" w:history="1">
        <w:r w:rsidRPr="009950B3">
          <w:rPr>
            <w:rStyle w:val="Hyperlink"/>
            <w:rFonts w:ascii="Times New Roman" w:eastAsia="Times New Roman" w:hAnsi="Times New Roman" w:cs="Times New Roman"/>
            <w:u w:val="none"/>
          </w:rPr>
          <w:t>https://doi.org/10.1038/s41598-020-62423-y</w:t>
        </w:r>
      </w:hyperlink>
    </w:p>
    <w:p w14:paraId="7593B0D3" w14:textId="2DC3735A" w:rsidR="00AD15D6" w:rsidRPr="009950B3" w:rsidRDefault="00AD15D6">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t xml:space="preserve">Durham E, Dorr B, Woetzel N, </w:t>
      </w:r>
      <w:proofErr w:type="spellStart"/>
      <w:r w:rsidRPr="00AD15D6">
        <w:rPr>
          <w:rFonts w:ascii="Times New Roman" w:eastAsia="Times New Roman" w:hAnsi="Times New Roman" w:cs="Times New Roman"/>
          <w:color w:val="000000"/>
        </w:rPr>
        <w:t>Staritzbichler</w:t>
      </w:r>
      <w:proofErr w:type="spellEnd"/>
      <w:r w:rsidRPr="00AD15D6">
        <w:rPr>
          <w:rFonts w:ascii="Times New Roman" w:eastAsia="Times New Roman" w:hAnsi="Times New Roman" w:cs="Times New Roman"/>
          <w:color w:val="000000"/>
        </w:rPr>
        <w:t xml:space="preserve"> R, Meiler J (2009) Solvent accessible surface area approximations for rapid and accurate protein structure prediction. J Mol Model 15:1093-1108. </w:t>
      </w:r>
      <w:hyperlink r:id="rId56" w:history="1">
        <w:r w:rsidRPr="009950B3">
          <w:rPr>
            <w:rStyle w:val="Hyperlink"/>
            <w:rFonts w:ascii="Times New Roman" w:eastAsia="Times New Roman" w:hAnsi="Times New Roman" w:cs="Times New Roman"/>
            <w:u w:val="none"/>
          </w:rPr>
          <w:t>https://doi.org/10.1007/s00894-009-0454-9</w:t>
        </w:r>
      </w:hyperlink>
    </w:p>
    <w:p w14:paraId="4317BB9B" w14:textId="3B2F28F6" w:rsidR="00AD15D6" w:rsidRDefault="00AD15D6"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eastAsia="Times New Roman" w:hAnsi="Times New Roman" w:cs="Times New Roman"/>
          <w:color w:val="000000"/>
        </w:rPr>
        <w:lastRenderedPageBreak/>
        <w:t xml:space="preserve">Zhao SS, Wang YJ, Tang L, Guo B, Wang L, Zhang JQ, Yang SG (2023) Identifying novel selective PPO inhibitors through structure-based virtual screening and bio-evaluation. RSC Adv 13:10873-10883. </w:t>
      </w:r>
      <w:hyperlink r:id="rId57" w:history="1">
        <w:r w:rsidRPr="009950B3">
          <w:rPr>
            <w:rStyle w:val="Hyperlink"/>
            <w:rFonts w:ascii="Times New Roman" w:eastAsia="Times New Roman" w:hAnsi="Times New Roman" w:cs="Times New Roman"/>
            <w:u w:val="none"/>
          </w:rPr>
          <w:t>https://doi.org/10.1039/D2RA08006K</w:t>
        </w:r>
      </w:hyperlink>
    </w:p>
    <w:p w14:paraId="450C1BB1" w14:textId="5225F46D" w:rsidR="00AD15D6" w:rsidRPr="00AD15D6" w:rsidRDefault="00AD15D6"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proofErr w:type="spellStart"/>
      <w:r w:rsidRPr="00AD15D6">
        <w:rPr>
          <w:rFonts w:ascii="Times New Roman" w:hAnsi="Times New Roman" w:cs="Times New Roman"/>
        </w:rPr>
        <w:t>Rainio</w:t>
      </w:r>
      <w:proofErr w:type="spellEnd"/>
      <w:r w:rsidRPr="00AD15D6">
        <w:rPr>
          <w:rFonts w:ascii="Times New Roman" w:hAnsi="Times New Roman" w:cs="Times New Roman"/>
        </w:rPr>
        <w:t xml:space="preserve"> O, </w:t>
      </w:r>
      <w:proofErr w:type="spellStart"/>
      <w:r w:rsidRPr="00AD15D6">
        <w:rPr>
          <w:rFonts w:ascii="Times New Roman" w:hAnsi="Times New Roman" w:cs="Times New Roman"/>
        </w:rPr>
        <w:t>Teuho</w:t>
      </w:r>
      <w:proofErr w:type="spellEnd"/>
      <w:r w:rsidRPr="00AD15D6">
        <w:rPr>
          <w:rFonts w:ascii="Times New Roman" w:hAnsi="Times New Roman" w:cs="Times New Roman"/>
        </w:rPr>
        <w:t xml:space="preserve"> J, </w:t>
      </w:r>
      <w:proofErr w:type="spellStart"/>
      <w:r w:rsidRPr="00AD15D6">
        <w:rPr>
          <w:rFonts w:ascii="Times New Roman" w:hAnsi="Times New Roman" w:cs="Times New Roman"/>
        </w:rPr>
        <w:t>Klén</w:t>
      </w:r>
      <w:proofErr w:type="spellEnd"/>
      <w:r w:rsidRPr="00AD15D6">
        <w:rPr>
          <w:rFonts w:ascii="Times New Roman" w:hAnsi="Times New Roman" w:cs="Times New Roman"/>
        </w:rPr>
        <w:t xml:space="preserve"> R (2024) Evaluation metrics and statistical tests for machine learning. Sci Rep 14:6086. </w:t>
      </w:r>
      <w:hyperlink r:id="rId58" w:history="1">
        <w:r w:rsidRPr="009950B3">
          <w:rPr>
            <w:rStyle w:val="Hyperlink"/>
            <w:rFonts w:ascii="Times New Roman" w:hAnsi="Times New Roman" w:cs="Times New Roman"/>
            <w:u w:val="none"/>
          </w:rPr>
          <w:t>https://doi.org/10.1038/s41598-024-56706-x</w:t>
        </w:r>
      </w:hyperlink>
    </w:p>
    <w:p w14:paraId="6C0A357E" w14:textId="332AD28A" w:rsidR="00AD15D6" w:rsidRPr="00AD15D6" w:rsidRDefault="00AD15D6"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proofErr w:type="spellStart"/>
      <w:r w:rsidRPr="00AD15D6">
        <w:rPr>
          <w:rFonts w:ascii="Times New Roman" w:hAnsi="Times New Roman" w:cs="Times New Roman"/>
        </w:rPr>
        <w:t>Tarwidi</w:t>
      </w:r>
      <w:proofErr w:type="spellEnd"/>
      <w:r w:rsidRPr="00AD15D6">
        <w:rPr>
          <w:rFonts w:ascii="Times New Roman" w:hAnsi="Times New Roman" w:cs="Times New Roman"/>
        </w:rPr>
        <w:t xml:space="preserve"> D, </w:t>
      </w:r>
      <w:proofErr w:type="spellStart"/>
      <w:r w:rsidRPr="00AD15D6">
        <w:rPr>
          <w:rFonts w:ascii="Times New Roman" w:hAnsi="Times New Roman" w:cs="Times New Roman"/>
        </w:rPr>
        <w:t>Pudjaprasetya</w:t>
      </w:r>
      <w:proofErr w:type="spellEnd"/>
      <w:r w:rsidRPr="00AD15D6">
        <w:rPr>
          <w:rFonts w:ascii="Times New Roman" w:hAnsi="Times New Roman" w:cs="Times New Roman"/>
        </w:rPr>
        <w:t xml:space="preserve"> SR, </w:t>
      </w:r>
      <w:proofErr w:type="spellStart"/>
      <w:r w:rsidRPr="00AD15D6">
        <w:rPr>
          <w:rFonts w:ascii="Times New Roman" w:hAnsi="Times New Roman" w:cs="Times New Roman"/>
        </w:rPr>
        <w:t>Adytia</w:t>
      </w:r>
      <w:proofErr w:type="spellEnd"/>
      <w:r w:rsidRPr="00AD15D6">
        <w:rPr>
          <w:rFonts w:ascii="Times New Roman" w:hAnsi="Times New Roman" w:cs="Times New Roman"/>
        </w:rPr>
        <w:t xml:space="preserve"> D, Apri M (2023) An optimized XGBoost-based machine learning method for predicting wave run-up on a sloping beach. </w:t>
      </w:r>
      <w:proofErr w:type="spellStart"/>
      <w:r w:rsidRPr="00AD15D6">
        <w:rPr>
          <w:rFonts w:ascii="Times New Roman" w:hAnsi="Times New Roman" w:cs="Times New Roman"/>
        </w:rPr>
        <w:t>MethodsX</w:t>
      </w:r>
      <w:proofErr w:type="spellEnd"/>
      <w:r w:rsidRPr="00AD15D6">
        <w:rPr>
          <w:rFonts w:ascii="Times New Roman" w:hAnsi="Times New Roman" w:cs="Times New Roman"/>
        </w:rPr>
        <w:t xml:space="preserve"> 10:102119. </w:t>
      </w:r>
      <w:hyperlink r:id="rId59" w:history="1">
        <w:r w:rsidRPr="009950B3">
          <w:rPr>
            <w:rStyle w:val="Hyperlink"/>
            <w:rFonts w:ascii="Times New Roman" w:hAnsi="Times New Roman" w:cs="Times New Roman"/>
            <w:u w:val="none"/>
          </w:rPr>
          <w:t>https://doi.org/10.1016/j.mex.2023.102119</w:t>
        </w:r>
      </w:hyperlink>
    </w:p>
    <w:p w14:paraId="1C76E222" w14:textId="7939B973" w:rsidR="00AD15D6" w:rsidRPr="009950B3" w:rsidRDefault="00AD15D6"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AD15D6">
        <w:rPr>
          <w:rFonts w:ascii="Times New Roman" w:hAnsi="Times New Roman" w:cs="Times New Roman"/>
        </w:rPr>
        <w:t xml:space="preserve">Yang C, Gong C, Zhang Z, Fang J, Li W, Liu G, Tang Y (2025) In silico prediction of </w:t>
      </w:r>
      <w:proofErr w:type="spellStart"/>
      <w:r w:rsidRPr="00AD15D6">
        <w:rPr>
          <w:rFonts w:ascii="Times New Roman" w:hAnsi="Times New Roman" w:cs="Times New Roman"/>
        </w:rPr>
        <w:t>pKa</w:t>
      </w:r>
      <w:proofErr w:type="spellEnd"/>
      <w:r w:rsidRPr="00AD15D6">
        <w:rPr>
          <w:rFonts w:ascii="Times New Roman" w:hAnsi="Times New Roman" w:cs="Times New Roman"/>
        </w:rPr>
        <w:t xml:space="preserve"> values using explainable deep learning methods. J Pharm Anal 15:101174. </w:t>
      </w:r>
      <w:hyperlink r:id="rId60" w:history="1">
        <w:r w:rsidRPr="009950B3">
          <w:rPr>
            <w:rStyle w:val="Hyperlink"/>
            <w:rFonts w:ascii="Times New Roman" w:hAnsi="Times New Roman" w:cs="Times New Roman"/>
            <w:u w:val="none"/>
          </w:rPr>
          <w:t>https://doi.org/10.1016/j.jpha.2024.101174</w:t>
        </w:r>
      </w:hyperlink>
    </w:p>
    <w:p w14:paraId="364D95F0" w14:textId="505CEF21" w:rsidR="006F3774" w:rsidRPr="003F4A20" w:rsidRDefault="003F4A20"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3F4A20">
        <w:rPr>
          <w:rFonts w:ascii="Times New Roman" w:hAnsi="Times New Roman" w:cs="Times New Roman"/>
        </w:rPr>
        <w:t xml:space="preserve">Yan D, Ma Y, Chen X, Deng S, Wang Q (2025) Molecular dynamics-driven drug discovery. Phys Chem </w:t>
      </w:r>
      <w:proofErr w:type="spellStart"/>
      <w:r w:rsidRPr="003F4A20">
        <w:rPr>
          <w:rFonts w:ascii="Times New Roman" w:hAnsi="Times New Roman" w:cs="Times New Roman"/>
        </w:rPr>
        <w:t>Chem</w:t>
      </w:r>
      <w:proofErr w:type="spellEnd"/>
      <w:r w:rsidRPr="003F4A20">
        <w:rPr>
          <w:rFonts w:ascii="Times New Roman" w:hAnsi="Times New Roman" w:cs="Times New Roman"/>
        </w:rPr>
        <w:t xml:space="preserve"> Phys 27:12633-12651. </w:t>
      </w:r>
      <w:hyperlink r:id="rId61" w:history="1">
        <w:r w:rsidRPr="009950B3">
          <w:rPr>
            <w:rStyle w:val="Hyperlink"/>
            <w:rFonts w:ascii="Times New Roman" w:hAnsi="Times New Roman" w:cs="Times New Roman"/>
            <w:u w:val="none"/>
          </w:rPr>
          <w:t>https://doi.org/10.1039/D5CP00380F</w:t>
        </w:r>
      </w:hyperlink>
    </w:p>
    <w:p w14:paraId="69B5871F" w14:textId="77777777" w:rsidR="003F4A20" w:rsidRDefault="003F4A20" w:rsidP="006F3774">
      <w:pPr>
        <w:pBdr>
          <w:top w:val="nil"/>
          <w:left w:val="nil"/>
          <w:bottom w:val="nil"/>
          <w:right w:val="nil"/>
          <w:between w:val="nil"/>
        </w:pBdr>
        <w:spacing w:after="0" w:line="276" w:lineRule="auto"/>
        <w:ind w:left="540"/>
        <w:jc w:val="both"/>
        <w:rPr>
          <w:rFonts w:ascii="Times New Roman" w:eastAsia="Times New Roman" w:hAnsi="Times New Roman" w:cs="Times New Roman"/>
          <w:color w:val="000000"/>
        </w:rPr>
      </w:pPr>
    </w:p>
    <w:p w14:paraId="201EDED4"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5B572130"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57AB61F1"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610DEBAA"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7B608020"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310CE125"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0DD32ECB"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7483AFDF"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1FB100AA"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3669711E"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63CE148E"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76F4C181" w14:textId="77777777" w:rsidR="00C5229E" w:rsidRDefault="00C5229E">
      <w:pPr>
        <w:tabs>
          <w:tab w:val="left" w:pos="1152"/>
        </w:tabs>
        <w:spacing w:after="0" w:line="240" w:lineRule="auto"/>
        <w:jc w:val="both"/>
        <w:rPr>
          <w:rFonts w:ascii="Times New Roman" w:eastAsia="Times New Roman" w:hAnsi="Times New Roman" w:cs="Times New Roman"/>
          <w:b/>
          <w:bCs/>
        </w:rPr>
      </w:pPr>
    </w:p>
    <w:p w14:paraId="7DC11AB8"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2F6DC621"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13133A82"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2DDF1357"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2C9B1224"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133B51A3"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4E19CD18"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72AA7045" w14:textId="4B7B0597" w:rsidR="001B3242" w:rsidRDefault="00934CE3" w:rsidP="001B3242">
      <w:pPr>
        <w:tabs>
          <w:tab w:val="left" w:pos="1152"/>
        </w:tabs>
        <w:spacing w:after="0" w:line="24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992530A" wp14:editId="160B2B2F">
            <wp:extent cx="5731510" cy="2882265"/>
            <wp:effectExtent l="0" t="0" r="0" b="0"/>
            <wp:docPr id="37169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4621" name="Picture 37169462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0FA1F510" w14:textId="77777777" w:rsidR="001B3242" w:rsidRDefault="001B3242" w:rsidP="001B3242">
      <w:pPr>
        <w:tabs>
          <w:tab w:val="left" w:pos="1152"/>
        </w:tabs>
        <w:spacing w:after="0" w:line="240" w:lineRule="auto"/>
        <w:jc w:val="both"/>
        <w:rPr>
          <w:rFonts w:ascii="Times New Roman" w:hAnsi="Times New Roman" w:cs="Times New Roman"/>
          <w:b/>
          <w:bCs/>
        </w:rPr>
      </w:pPr>
    </w:p>
    <w:p w14:paraId="5343332A" w14:textId="77777777" w:rsidR="001B3242" w:rsidRDefault="001B3242" w:rsidP="001B3242">
      <w:pPr>
        <w:tabs>
          <w:tab w:val="left" w:pos="1152"/>
        </w:tabs>
        <w:spacing w:after="0" w:line="240" w:lineRule="auto"/>
        <w:jc w:val="center"/>
        <w:rPr>
          <w:rFonts w:ascii="Times New Roman" w:hAnsi="Times New Roman" w:cs="Times New Roman"/>
          <w:b/>
          <w:bCs/>
        </w:rPr>
      </w:pPr>
      <w:r>
        <w:rPr>
          <w:rFonts w:ascii="Times New Roman" w:hAnsi="Times New Roman" w:cs="Times New Roman"/>
          <w:b/>
          <w:bCs/>
        </w:rPr>
        <w:t>Graphical Abstract</w:t>
      </w:r>
    </w:p>
    <w:p w14:paraId="3149AE24"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38A114CA"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16A767DF" w14:textId="77777777" w:rsidR="002F0DA9" w:rsidRDefault="002F0DA9">
      <w:pPr>
        <w:tabs>
          <w:tab w:val="left" w:pos="1152"/>
        </w:tabs>
        <w:spacing w:after="0" w:line="240" w:lineRule="auto"/>
        <w:jc w:val="both"/>
        <w:rPr>
          <w:rFonts w:ascii="Times New Roman" w:eastAsia="Times New Roman" w:hAnsi="Times New Roman" w:cs="Times New Roman"/>
          <w:b/>
          <w:bCs/>
        </w:rPr>
      </w:pPr>
    </w:p>
    <w:sectPr w:rsidR="002F0DA9">
      <w:footerReference w:type="default" r:id="rId6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38FA" w14:textId="77777777" w:rsidR="00393D28" w:rsidRDefault="00393D28">
      <w:pPr>
        <w:spacing w:after="0" w:line="240" w:lineRule="auto"/>
      </w:pPr>
      <w:r>
        <w:separator/>
      </w:r>
    </w:p>
  </w:endnote>
  <w:endnote w:type="continuationSeparator" w:id="0">
    <w:p w14:paraId="313F6A1C" w14:textId="77777777" w:rsidR="00393D28" w:rsidRDefault="00393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117EAB1-5435-4841-B7E6-FFC617C99D51}"/>
    <w:embedBold r:id="rId2" w:fontKey="{D58EB9A2-E6DA-4985-8E4E-BA31C70AE345}"/>
    <w:embedItalic r:id="rId3" w:fontKey="{6F389874-0C75-4B62-B7E0-5EBEE4968AF8}"/>
  </w:font>
  <w:font w:name="Cambria">
    <w:panose1 w:val="02040503050406030204"/>
    <w:charset w:val="00"/>
    <w:family w:val="roman"/>
    <w:pitch w:val="variable"/>
    <w:sig w:usb0="E00006FF" w:usb1="420024FF" w:usb2="02000000" w:usb3="00000000" w:csb0="0000019F" w:csb1="00000000"/>
    <w:embedRegular r:id="rId4" w:fontKey="{CA45B577-E2B9-4FC4-AD95-16972207C9C2}"/>
  </w:font>
  <w:font w:name="Mangal">
    <w:panose1 w:val="02040503050203030202"/>
    <w:charset w:val="00"/>
    <w:family w:val="roman"/>
    <w:pitch w:val="variable"/>
    <w:sig w:usb0="00008003" w:usb1="00000000" w:usb2="00000000" w:usb3="00000000" w:csb0="00000001" w:csb1="00000000"/>
    <w:embedRegular r:id="rId5" w:fontKey="{A682B9D5-A247-4C23-B841-209033A274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239E" w14:textId="77777777" w:rsidR="002F0DA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E0F18">
      <w:rPr>
        <w:noProof/>
        <w:color w:val="000000"/>
      </w:rPr>
      <w:t>1</w:t>
    </w:r>
    <w:r>
      <w:rPr>
        <w:color w:val="000000"/>
      </w:rPr>
      <w:fldChar w:fldCharType="end"/>
    </w:r>
  </w:p>
  <w:p w14:paraId="341024C3" w14:textId="77777777" w:rsidR="002F0DA9" w:rsidRDefault="002F0DA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E70EB" w14:textId="77777777" w:rsidR="00393D28" w:rsidRDefault="00393D28">
      <w:pPr>
        <w:spacing w:after="0" w:line="240" w:lineRule="auto"/>
      </w:pPr>
      <w:r>
        <w:separator/>
      </w:r>
    </w:p>
  </w:footnote>
  <w:footnote w:type="continuationSeparator" w:id="0">
    <w:p w14:paraId="3511976B" w14:textId="77777777" w:rsidR="00393D28" w:rsidRDefault="00393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2D35"/>
    <w:multiLevelType w:val="hybridMultilevel"/>
    <w:tmpl w:val="484853A0"/>
    <w:lvl w:ilvl="0" w:tplc="0338D24C">
      <w:start w:val="1"/>
      <w:numFmt w:val="decimal"/>
      <w:lvlText w:val="[%1]"/>
      <w:lvlJc w:val="left"/>
      <w:pPr>
        <w:ind w:left="1440" w:hanging="360"/>
      </w:pPr>
      <w:rPr>
        <w:rFonts w:hint="default"/>
        <w:b w:val="0"/>
        <w:bCs w:val="0"/>
      </w:rPr>
    </w:lvl>
    <w:lvl w:ilvl="1" w:tplc="8C820368">
      <w:start w:val="1"/>
      <w:numFmt w:val="upperLetter"/>
      <w:lvlText w:val="%2."/>
      <w:lvlJc w:val="left"/>
      <w:pPr>
        <w:ind w:left="2190" w:hanging="39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5EC0F03"/>
    <w:multiLevelType w:val="multilevel"/>
    <w:tmpl w:val="5462C25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DB52AF"/>
    <w:multiLevelType w:val="hybridMultilevel"/>
    <w:tmpl w:val="EB1E5C16"/>
    <w:lvl w:ilvl="0" w:tplc="19FE7A2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1C5265"/>
    <w:multiLevelType w:val="multilevel"/>
    <w:tmpl w:val="7FFEA5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472E66"/>
    <w:multiLevelType w:val="multilevel"/>
    <w:tmpl w:val="8160DF78"/>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4CEA6742"/>
    <w:multiLevelType w:val="multilevel"/>
    <w:tmpl w:val="14BE1A1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DA9172F"/>
    <w:multiLevelType w:val="multilevel"/>
    <w:tmpl w:val="275C78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69604D"/>
    <w:multiLevelType w:val="multilevel"/>
    <w:tmpl w:val="D19867D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2C14578"/>
    <w:multiLevelType w:val="multilevel"/>
    <w:tmpl w:val="58FC1328"/>
    <w:lvl w:ilvl="0">
      <w:start w:val="1"/>
      <w:numFmt w:val="decimal"/>
      <w:lvlText w:val="%1."/>
      <w:lvlJc w:val="left"/>
      <w:pPr>
        <w:ind w:left="1440" w:hanging="360"/>
      </w:pPr>
      <w:rPr>
        <w:b w:val="0"/>
        <w:bCs w:val="0"/>
      </w:rPr>
    </w:lvl>
    <w:lvl w:ilvl="1">
      <w:start w:val="1"/>
      <w:numFmt w:val="upperLetter"/>
      <w:lvlText w:val="%2."/>
      <w:lvlJc w:val="left"/>
      <w:pPr>
        <w:ind w:left="2190" w:hanging="39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696755AE"/>
    <w:multiLevelType w:val="hybridMultilevel"/>
    <w:tmpl w:val="682E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B74854"/>
    <w:multiLevelType w:val="multilevel"/>
    <w:tmpl w:val="941C6564"/>
    <w:lvl w:ilvl="0">
      <w:start w:val="2"/>
      <w:numFmt w:val="decimal"/>
      <w:lvlText w:val="%1."/>
      <w:lvlJc w:val="left"/>
      <w:pPr>
        <w:ind w:left="540" w:hanging="540"/>
      </w:pPr>
    </w:lvl>
    <w:lvl w:ilvl="1">
      <w:start w:val="2"/>
      <w:numFmt w:val="decimal"/>
      <w:lvlText w:val="%1.%2."/>
      <w:lvlJc w:val="left"/>
      <w:pPr>
        <w:ind w:left="540" w:hanging="540"/>
      </w:pPr>
      <w:rPr>
        <w:b/>
        <w:bCs/>
      </w:rPr>
    </w:lvl>
    <w:lvl w:ilvl="2">
      <w:start w:val="1"/>
      <w:numFmt w:val="decimal"/>
      <w:lvlText w:val="%1.%2.%3."/>
      <w:lvlJc w:val="left"/>
      <w:pPr>
        <w:ind w:left="720" w:hanging="720"/>
      </w:pPr>
      <w:rPr>
        <w:i w:val="0"/>
        <w:i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7AC810BA"/>
    <w:multiLevelType w:val="multilevel"/>
    <w:tmpl w:val="CE1EE6D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99998931">
    <w:abstractNumId w:val="3"/>
  </w:num>
  <w:num w:numId="2" w16cid:durableId="1151363797">
    <w:abstractNumId w:val="4"/>
  </w:num>
  <w:num w:numId="3" w16cid:durableId="1493175164">
    <w:abstractNumId w:val="10"/>
  </w:num>
  <w:num w:numId="4" w16cid:durableId="1082675755">
    <w:abstractNumId w:val="8"/>
  </w:num>
  <w:num w:numId="5" w16cid:durableId="756173727">
    <w:abstractNumId w:val="9"/>
  </w:num>
  <w:num w:numId="6" w16cid:durableId="1029991351">
    <w:abstractNumId w:val="0"/>
  </w:num>
  <w:num w:numId="7" w16cid:durableId="374700660">
    <w:abstractNumId w:val="2"/>
  </w:num>
  <w:num w:numId="8" w16cid:durableId="622810625">
    <w:abstractNumId w:val="1"/>
  </w:num>
  <w:num w:numId="9" w16cid:durableId="1505782591">
    <w:abstractNumId w:val="5"/>
  </w:num>
  <w:num w:numId="10" w16cid:durableId="966206871">
    <w:abstractNumId w:val="11"/>
  </w:num>
  <w:num w:numId="11" w16cid:durableId="1574311448">
    <w:abstractNumId w:val="6"/>
  </w:num>
  <w:num w:numId="12" w16cid:durableId="11060806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DA9"/>
    <w:rsid w:val="00033C7E"/>
    <w:rsid w:val="00096FC6"/>
    <w:rsid w:val="000B6298"/>
    <w:rsid w:val="00112628"/>
    <w:rsid w:val="0019016D"/>
    <w:rsid w:val="001B3242"/>
    <w:rsid w:val="001B79E5"/>
    <w:rsid w:val="001C1818"/>
    <w:rsid w:val="001E0A82"/>
    <w:rsid w:val="00287446"/>
    <w:rsid w:val="00293FE1"/>
    <w:rsid w:val="002C1C92"/>
    <w:rsid w:val="002D6EB6"/>
    <w:rsid w:val="002F0DA9"/>
    <w:rsid w:val="0032758A"/>
    <w:rsid w:val="00377AD6"/>
    <w:rsid w:val="00393D28"/>
    <w:rsid w:val="003F4A20"/>
    <w:rsid w:val="00435668"/>
    <w:rsid w:val="00441A42"/>
    <w:rsid w:val="00442AE7"/>
    <w:rsid w:val="00507D18"/>
    <w:rsid w:val="00523E67"/>
    <w:rsid w:val="005A1B12"/>
    <w:rsid w:val="005A3E61"/>
    <w:rsid w:val="005D2539"/>
    <w:rsid w:val="005F1E18"/>
    <w:rsid w:val="00641B4C"/>
    <w:rsid w:val="006F3774"/>
    <w:rsid w:val="007279B8"/>
    <w:rsid w:val="007448E0"/>
    <w:rsid w:val="007E0F18"/>
    <w:rsid w:val="007F606D"/>
    <w:rsid w:val="00865635"/>
    <w:rsid w:val="00866202"/>
    <w:rsid w:val="00931ACB"/>
    <w:rsid w:val="00934CE3"/>
    <w:rsid w:val="009950B3"/>
    <w:rsid w:val="009C443A"/>
    <w:rsid w:val="009E161C"/>
    <w:rsid w:val="00A02356"/>
    <w:rsid w:val="00A076F9"/>
    <w:rsid w:val="00A3200E"/>
    <w:rsid w:val="00AD15D6"/>
    <w:rsid w:val="00B002A7"/>
    <w:rsid w:val="00B003E5"/>
    <w:rsid w:val="00B63AB1"/>
    <w:rsid w:val="00B7435E"/>
    <w:rsid w:val="00C00114"/>
    <w:rsid w:val="00C5229E"/>
    <w:rsid w:val="00C7578C"/>
    <w:rsid w:val="00CF05E4"/>
    <w:rsid w:val="00D00A24"/>
    <w:rsid w:val="00DC057F"/>
    <w:rsid w:val="00DF0C90"/>
    <w:rsid w:val="00E969FE"/>
    <w:rsid w:val="00EB4965"/>
    <w:rsid w:val="00ED6D0F"/>
    <w:rsid w:val="00ED772F"/>
    <w:rsid w:val="00FE7DA6"/>
    <w:rsid w:val="00FF0D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77D6"/>
  <w15:docId w15:val="{5C109D91-461B-4F5E-B58E-25DB0565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B3242"/>
    <w:pPr>
      <w:ind w:left="720"/>
      <w:contextualSpacing/>
    </w:pPr>
    <w:rPr>
      <w:rFonts w:asciiTheme="minorHAnsi" w:eastAsiaTheme="minorHAnsi" w:hAnsiTheme="minorHAnsi" w:cstheme="minorBidi"/>
      <w:kern w:val="2"/>
      <w:lang w:bidi="te-IN"/>
      <w14:ligatures w14:val="standardContextual"/>
    </w:rPr>
  </w:style>
  <w:style w:type="character" w:styleId="Hyperlink">
    <w:name w:val="Hyperlink"/>
    <w:basedOn w:val="DefaultParagraphFont"/>
    <w:uiPriority w:val="99"/>
    <w:unhideWhenUsed/>
    <w:rsid w:val="00523E67"/>
    <w:rPr>
      <w:color w:val="0000FF" w:themeColor="hyperlink"/>
      <w:u w:val="single"/>
    </w:rPr>
  </w:style>
  <w:style w:type="character" w:styleId="UnresolvedMention">
    <w:name w:val="Unresolved Mention"/>
    <w:basedOn w:val="DefaultParagraphFont"/>
    <w:uiPriority w:val="99"/>
    <w:semiHidden/>
    <w:unhideWhenUsed/>
    <w:rsid w:val="00523E67"/>
    <w:rPr>
      <w:color w:val="605E5C"/>
      <w:shd w:val="clear" w:color="auto" w:fill="E1DFDD"/>
    </w:rPr>
  </w:style>
  <w:style w:type="character" w:styleId="FollowedHyperlink">
    <w:name w:val="FollowedHyperlink"/>
    <w:basedOn w:val="DefaultParagraphFont"/>
    <w:uiPriority w:val="99"/>
    <w:semiHidden/>
    <w:unhideWhenUsed/>
    <w:rsid w:val="00523E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11/j.1365-2710.2008.00978.x" TargetMode="External"/><Relationship Id="rId39" Type="http://schemas.openxmlformats.org/officeDocument/2006/relationships/hyperlink" Target="https://doi.org/10.1093/nar/gkae1059" TargetMode="External"/><Relationship Id="rId21" Type="http://schemas.openxmlformats.org/officeDocument/2006/relationships/image" Target="media/image10.png"/><Relationship Id="rId34" Type="http://schemas.openxmlformats.org/officeDocument/2006/relationships/hyperlink" Target="https://doi.org/10.3390/molecules19045243" TargetMode="External"/><Relationship Id="rId42" Type="http://schemas.openxmlformats.org/officeDocument/2006/relationships/hyperlink" Target="https://doi.org/10.1371/journal.pone.0118432" TargetMode="External"/><Relationship Id="rId47" Type="http://schemas.openxmlformats.org/officeDocument/2006/relationships/hyperlink" Target="https://doi.org/10.1093/nar/gkae254" TargetMode="External"/><Relationship Id="rId50" Type="http://schemas.openxmlformats.org/officeDocument/2006/relationships/hyperlink" Target="https://doi.org/10.1126/science.1241475" TargetMode="External"/><Relationship Id="rId55" Type="http://schemas.openxmlformats.org/officeDocument/2006/relationships/hyperlink" Target="https://doi.org/10.1038/s41598-020-62423-y" TargetMode="External"/><Relationship Id="rId63" Type="http://schemas.openxmlformats.org/officeDocument/2006/relationships/footer" Target="footer1.xml"/><Relationship Id="rId7" Type="http://schemas.openxmlformats.org/officeDocument/2006/relationships/hyperlink" Target="https://foodb.ca/"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3390/molecules21080983" TargetMode="External"/><Relationship Id="rId41" Type="http://schemas.openxmlformats.org/officeDocument/2006/relationships/hyperlink" Target="https://doi.org/10.1145/2939672.2939785" TargetMode="External"/><Relationship Id="rId54" Type="http://schemas.openxmlformats.org/officeDocument/2006/relationships/hyperlink" Target="https://doi.org/10.1080/10799893.2026.2701217" TargetMode="External"/><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hyperlink" Target="https://doi.org/10.1126/sciadv.aax0821" TargetMode="External"/><Relationship Id="rId32" Type="http://schemas.openxmlformats.org/officeDocument/2006/relationships/hyperlink" Target="https://doi.org/10.2174/0115701638326869250207060616" TargetMode="External"/><Relationship Id="rId37" Type="http://schemas.openxmlformats.org/officeDocument/2006/relationships/hyperlink" Target="https://doi.org/10.1111/cts.70172" TargetMode="External"/><Relationship Id="rId40" Type="http://schemas.openxmlformats.org/officeDocument/2006/relationships/hyperlink" Target="https://doi.org/10.1021/ci100050t" TargetMode="External"/><Relationship Id="rId45" Type="http://schemas.openxmlformats.org/officeDocument/2006/relationships/hyperlink" Target="https://doi.org/10.1021/jm020017n" TargetMode="External"/><Relationship Id="rId53" Type="http://schemas.openxmlformats.org/officeDocument/2006/relationships/hyperlink" Target="https://doi.org/10.1038/347631a0" TargetMode="External"/><Relationship Id="rId58" Type="http://schemas.openxmlformats.org/officeDocument/2006/relationships/hyperlink" Target="https://doi.org/10.1038/s41598-024-56706-x"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38/nm1101-1232" TargetMode="External"/><Relationship Id="rId28" Type="http://schemas.openxmlformats.org/officeDocument/2006/relationships/hyperlink" Target="https://doi.org/10.3390/ph17010022" TargetMode="External"/><Relationship Id="rId36" Type="http://schemas.openxmlformats.org/officeDocument/2006/relationships/hyperlink" Target="https://doi.org/10.2174/1570162X15666170106124216" TargetMode="External"/><Relationship Id="rId49" Type="http://schemas.openxmlformats.org/officeDocument/2006/relationships/hyperlink" Target="https://doi.org/10.1128/AAC.49.11.4721-4732.2005" TargetMode="External"/><Relationship Id="rId57" Type="http://schemas.openxmlformats.org/officeDocument/2006/relationships/hyperlink" Target="https://doi.org/10.1039/D2RA08006K" TargetMode="External"/><Relationship Id="rId61" Type="http://schemas.openxmlformats.org/officeDocument/2006/relationships/hyperlink" Target="https://doi.org/10.1039/D5CP00380F" TargetMode="External"/><Relationship Id="rId10" Type="http://schemas.openxmlformats.org/officeDocument/2006/relationships/hyperlink" Target="https://www.rcsb.org/structure/4MBS" TargetMode="External"/><Relationship Id="rId19" Type="http://schemas.openxmlformats.org/officeDocument/2006/relationships/image" Target="media/image8.png"/><Relationship Id="rId31" Type="http://schemas.openxmlformats.org/officeDocument/2006/relationships/hyperlink" Target="https://doi.org/10.1186/s13065-024-01316-x" TargetMode="External"/><Relationship Id="rId44" Type="http://schemas.openxmlformats.org/officeDocument/2006/relationships/hyperlink" Target="https://doi.org/10.1021/cc9800071" TargetMode="External"/><Relationship Id="rId52" Type="http://schemas.openxmlformats.org/officeDocument/2006/relationships/hyperlink" Target="https://doi.org/10.1186/1758-2946-3-33" TargetMode="External"/><Relationship Id="rId60" Type="http://schemas.openxmlformats.org/officeDocument/2006/relationships/hyperlink" Target="https://doi.org/10.1016/j.jpha.2024.101174"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iosig.lab.uq.edu.au/deeppk/?utm_source=chatgpt.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4103/0253-7184.55471" TargetMode="External"/><Relationship Id="rId30" Type="http://schemas.openxmlformats.org/officeDocument/2006/relationships/hyperlink" Target="https://doi.org/10.1038/s41573-019-0024-5" TargetMode="External"/><Relationship Id="rId35" Type="http://schemas.openxmlformats.org/officeDocument/2006/relationships/hyperlink" Target="https://doi.org/10.1111/ijfs.16992" TargetMode="External"/><Relationship Id="rId43" Type="http://schemas.openxmlformats.org/officeDocument/2006/relationships/hyperlink" Target="https://doi.org/10.1016/S0169-409X(00)00129-0" TargetMode="External"/><Relationship Id="rId48" Type="http://schemas.openxmlformats.org/officeDocument/2006/relationships/hyperlink" Target="https://doi.org/10.25259/IJMR_2115_23" TargetMode="External"/><Relationship Id="rId56" Type="http://schemas.openxmlformats.org/officeDocument/2006/relationships/hyperlink" Target="https://doi.org/10.1007/s00894-009-0454-9" TargetMode="External"/><Relationship Id="rId64" Type="http://schemas.openxmlformats.org/officeDocument/2006/relationships/fontTable" Target="fontTable.xml"/><Relationship Id="rId8" Type="http://schemas.openxmlformats.org/officeDocument/2006/relationships/hyperlink" Target="https://www.swissadme.ch/" TargetMode="External"/><Relationship Id="rId51" Type="http://schemas.openxmlformats.org/officeDocument/2006/relationships/hyperlink" Target="https://doi.org/10.1007/s10822-010-9352-6" TargetMode="External"/><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hyperlink" Target="https://doi.org/10.1128/JVI.71.4.3219-3227.1997" TargetMode="External"/><Relationship Id="rId33" Type="http://schemas.openxmlformats.org/officeDocument/2006/relationships/hyperlink" Target="https://doi.org/10.1080/00498254.2025.2566212" TargetMode="External"/><Relationship Id="rId38" Type="http://schemas.openxmlformats.org/officeDocument/2006/relationships/hyperlink" Target="https://doi.org/10.1093/nar/gkv1072" TargetMode="External"/><Relationship Id="rId46" Type="http://schemas.openxmlformats.org/officeDocument/2006/relationships/hyperlink" Target="https://doi.org/10.1021/jm000292e" TargetMode="External"/><Relationship Id="rId59" Type="http://schemas.openxmlformats.org/officeDocument/2006/relationships/hyperlink" Target="https://doi.org/10.1016/j.mex.2023.1021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TotalTime>
  <Pages>27</Pages>
  <Words>8765</Words>
  <Characters>49965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Estari Mamidala</cp:lastModifiedBy>
  <cp:revision>37</cp:revision>
  <dcterms:created xsi:type="dcterms:W3CDTF">2026-09-01T10:51:00Z</dcterms:created>
  <dcterms:modified xsi:type="dcterms:W3CDTF">2026-09-02T18:05:00Z</dcterms:modified>
</cp:coreProperties>
</file>