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339"/>
          <w:sz w:val="40"/>
          <w:szCs w:val="40"/>
        </w:rPr>
        <w:t xml:space="preserve">MEMO DE REVISIÓN LEGAL</w:t>
      </w:r>
    </w:p>
    <w:p>
      <w:pPr>
        <w:spacing w:after="280"/>
        <w:jc w:val="center"/>
      </w:pPr>
      <w:r>
        <w:rPr>
          <w:color w:val="555555"/>
          <w:sz w:val="22"/>
          <w:szCs w:val="22"/>
        </w:rPr>
        <w:t xml:space="preserve">Documentos contractuales y de cumplimiento — Plataforma NIDO (nido-cr.com)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F2F2F2" w:val="clear"/>
            <w:tcMar>
              <w:top w:type="dxa" w:w="100"/>
              <w:left w:type="dxa" w:w="120"/>
              <w:bottom w:type="dxa" w:w="100"/>
              <w:right w:type="dxa" w:w="120"/>
            </w:tcMar>
          </w:tcPr>
          <w:p>
            <w:r>
              <w:rPr>
                <w:b/>
                <w:bCs/>
                <w:sz w:val="19"/>
                <w:szCs w:val="19"/>
              </w:rPr>
              <w:t xml:space="preserve">Preparado para</w:t>
            </w:r>
          </w:p>
        </w:tc>
        <w:tc>
          <w:tcPr>
            <w:tcW w:type="dxa" w:w="70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sz w:val="19"/>
                <w:szCs w:val="19"/>
              </w:rPr>
              <w:t xml:space="preserve">David Retana (dretalva@gmail.com)</w:t>
            </w:r>
          </w:p>
        </w:tc>
      </w:tr>
      <w:tr>
        <w:tc>
          <w:tcPr>
            <w:tcW w:type="dxa" w:w="2340"/>
            <w:tcBorders>
              <w:top w:val="single" w:color="CCCCCC" w:sz="4"/>
              <w:left w:val="single" w:color="CCCCCC" w:sz="4"/>
              <w:bottom w:val="single" w:color="CCCCCC" w:sz="4"/>
              <w:right w:val="single" w:color="CCCCCC" w:sz="4"/>
            </w:tcBorders>
            <w:shd w:fill="F2F2F2" w:val="clear"/>
            <w:tcMar>
              <w:top w:type="dxa" w:w="100"/>
              <w:left w:type="dxa" w:w="120"/>
              <w:bottom w:type="dxa" w:w="100"/>
              <w:right w:type="dxa" w:w="120"/>
            </w:tcMar>
          </w:tcPr>
          <w:p>
            <w:r>
              <w:rPr>
                <w:b/>
                <w:bCs/>
                <w:sz w:val="19"/>
                <w:szCs w:val="19"/>
              </w:rPr>
              <w:t xml:space="preserve">Preparado por</w:t>
            </w:r>
          </w:p>
        </w:tc>
        <w:tc>
          <w:tcPr>
            <w:tcW w:type="dxa" w:w="70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sz w:val="19"/>
                <w:szCs w:val="19"/>
              </w:rPr>
              <w:t xml:space="preserve">Claude (asistente de IA) — revisión asistida, no constituye asesoría legal</w:t>
            </w:r>
          </w:p>
        </w:tc>
      </w:tr>
      <w:tr>
        <w:tc>
          <w:tcPr>
            <w:tcW w:type="dxa" w:w="2340"/>
            <w:tcBorders>
              <w:top w:val="single" w:color="CCCCCC" w:sz="4"/>
              <w:left w:val="single" w:color="CCCCCC" w:sz="4"/>
              <w:bottom w:val="single" w:color="CCCCCC" w:sz="4"/>
              <w:right w:val="single" w:color="CCCCCC" w:sz="4"/>
            </w:tcBorders>
            <w:shd w:fill="F2F2F2" w:val="clear"/>
            <w:tcMar>
              <w:top w:type="dxa" w:w="100"/>
              <w:left w:type="dxa" w:w="120"/>
              <w:bottom w:type="dxa" w:w="100"/>
              <w:right w:type="dxa" w:w="120"/>
            </w:tcMar>
          </w:tcPr>
          <w:p>
            <w:r>
              <w:rPr>
                <w:b/>
                <w:bCs/>
                <w:sz w:val="19"/>
                <w:szCs w:val="19"/>
              </w:rPr>
              <w:t xml:space="preserve">Fecha</w:t>
            </w:r>
          </w:p>
        </w:tc>
        <w:tc>
          <w:tcPr>
            <w:tcW w:type="dxa" w:w="70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sz w:val="19"/>
                <w:szCs w:val="19"/>
              </w:rPr>
              <w:t xml:space="preserve">30 de junio de 2026</w:t>
            </w:r>
          </w:p>
        </w:tc>
      </w:tr>
      <w:tr>
        <w:tc>
          <w:tcPr>
            <w:tcW w:type="dxa" w:w="2340"/>
            <w:tcBorders>
              <w:top w:val="single" w:color="CCCCCC" w:sz="4"/>
              <w:left w:val="single" w:color="CCCCCC" w:sz="4"/>
              <w:bottom w:val="single" w:color="CCCCCC" w:sz="4"/>
              <w:right w:val="single" w:color="CCCCCC" w:sz="4"/>
            </w:tcBorders>
            <w:shd w:fill="F2F2F2" w:val="clear"/>
            <w:tcMar>
              <w:top w:type="dxa" w:w="100"/>
              <w:left w:type="dxa" w:w="120"/>
              <w:bottom w:type="dxa" w:w="100"/>
              <w:right w:type="dxa" w:w="120"/>
            </w:tcMar>
          </w:tcPr>
          <w:p>
            <w:r>
              <w:rPr>
                <w:b/>
                <w:bCs/>
                <w:sz w:val="19"/>
                <w:szCs w:val="19"/>
              </w:rPr>
              <w:t xml:space="preserve">Alcance</w:t>
            </w:r>
          </w:p>
        </w:tc>
        <w:tc>
          <w:tcPr>
            <w:tcW w:type="dxa" w:w="702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sz w:val="19"/>
                <w:szCs w:val="19"/>
              </w:rPr>
              <w:t xml:space="preserve">Términos de Uso, Política de Privacidad, Contrato de Afiliación de Asesor, Addendum Equipo NIDO, Contrato con Propietarios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BEAEA" w:val="clear"/>
            <w:tcMar>
              <w:top w:type="dxa" w:w="160"/>
              <w:left w:type="dxa" w:w="220"/>
              <w:bottom w:type="dxa" w:w="160"/>
              <w:right w:type="dxa" w:w="220"/>
            </w:tcMar>
          </w:tcPr>
          <w:p>
            <w:pPr>
              <w:spacing w:after="100"/>
            </w:pPr>
            <w:r>
              <w:rPr>
                <w:b/>
                <w:bCs/>
                <w:sz w:val="22"/>
                <w:szCs w:val="22"/>
              </w:rPr>
              <w:t xml:space="preserve">AVISO IMPORTANTE</w:t>
            </w:r>
          </w:p>
          <w:p>
            <w:pPr>
              <w:spacing w:after="0"/>
            </w:pPr>
            <w:r>
              <w:rPr>
                <w:sz w:val="21"/>
                <w:szCs w:val="21"/>
              </w:rPr>
              <w:t xml:space="preserve">Este memo y las correcciones aplicadas a los contratos fueron elaborados por un asistente de IA, no por un abogado costarricense. Las correcciones realizadas resuelven inconsistencias factuales y omisiones evidentes (referencias a Stripe, planes/precios desactualizados, claims falsos de funcionalidad, ausencia de cláusulas estándar), pero NO constituyen una validación jurídica integral del marco contractual de NIDO. La sección 3 de este documento detalla riesgos estructurales que requieren revisión de un abogado colegiado en Costa Rica antes de que estos contratos puedan considerarse jurídicamente sólidos para operar a escala.</w:t>
            </w:r>
          </w:p>
        </w:tc>
      </w:tr>
    </w:tbl>
    <w:p>
      <w:pPr>
        <w:pStyle w:val="Heading1"/>
      </w:pPr>
      <w:r>
        <w:t xml:space="preserve">1. Resumen ejecutivo</w:t>
      </w:r>
    </w:p>
    <w:p>
      <w:pPr>
        <w:spacing w:after="160"/>
      </w:pPr>
      <w:r>
        <w:t xml:space="preserve">Se revisaron los cinco documentos legales que rigen la operación de NIDO: Términos de Uso, Política de Privacidad, Contrato de Afiliación de Asesor, Addendum del Equipo NIDO y el Contrato de Corretaje con Propietarios. La revisión encontró y corrigió inconsistencias factuales entre lo que dicen los contratos y lo que la plataforma realmente hace (referencias a un procesador de pagos que ya no se usa, nombres y precios de planes desactualizados, una afirmación de seguridad — 2FA — que no existe todavía), y agregó cláusulas estándar que faltaban (validez de la firma electrónica, confidencialidad, protección de datos, fuerza mayor, divisibilidad, destino de la publicación al terminar un contrato).</w:t>
      </w:r>
    </w:p>
    <w:p>
      <w:pPr>
        <w:spacing w:after="160"/>
      </w:pPr>
      <w:r>
        <w:t xml:space="preserve">Más allá de esas correcciones, la revisión identificó un grupo de riesgos estructurales que no se pueden resolver únicamente editando el texto de las páginas web, porque dependen de decisiones de negocio y de interpretación legal que exceden lo que un asistente de IA puede o debe decidir. El más importante es que el Contrato con Propietarios designa a NIDO como "EL CORREDOR" (corredor de bienes raíces), mientras que los Términos de Uso describen a NIDO como una plataforma de intermediación tecnológica neutral. Estas dos posturas tienen implicaciones legales y regulatorias distintas (responsabilidad civil, necesidad de licencia de corretaje, alcance de las exenciones de responsabilidad) y deben armonizarse con apoyo de un abogado.</w:t>
      </w:r>
    </w:p>
    <w:p>
      <w:pPr>
        <w:spacing w:after="160"/>
      </w:pPr>
      <w:r>
        <w:t xml:space="preserve">La sección 2 resume, documento por documento, lo que se corrigió. La sección 3 detalla los riesgos abiertos, ordenados por prioridad. La sección 4 da la recomendación final.</w:t>
      </w:r>
    </w:p>
    <w:p>
      <w:pPr>
        <w:pStyle w:val="Heading1"/>
      </w:pPr>
      <w:r>
        <w:t xml:space="preserve">2. Cambios aplicados por documento</w:t>
      </w:r>
    </w:p>
    <w:p>
      <w:pPr>
        <w:pStyle w:val="Heading2"/>
      </w:pPr>
      <w:r>
        <w:t xml:space="preserve">2.1 Términos de Uso (/terminos)</w:t>
      </w:r>
    </w:p>
    <w:p>
      <w:pPr>
        <w:pStyle w:val="ListParagraph"/>
        <w:numPr>
          <w:ilvl w:val="0"/>
          <w:numId w:val="2"/>
        </w:numPr>
        <w:spacing w:after="100"/>
      </w:pPr>
      <w:r>
        <w:t xml:space="preserve">Se eliminaron las referencias a Stripe como procesador de pagos (ya no se usa) y se corrigieron los nombres y precios de los planes para que coincidan con /precios (Despega, Elite $59, Black $149).</w:t>
      </w:r>
    </w:p>
    <w:p>
      <w:pPr>
        <w:pStyle w:val="ListParagraph"/>
        <w:numPr>
          <w:ilvl w:val="0"/>
          <w:numId w:val="2"/>
        </w:numPr>
        <w:spacing w:after="100"/>
      </w:pPr>
      <w:r>
        <w:t xml:space="preserve">Se agregó la Sección 10 — Validez de la aceptación electrónica, citando la Ley N° 8454 de Certificados, Firmas Digitales y Documentos Electrónicos.</w:t>
      </w:r>
    </w:p>
    <w:p>
      <w:pPr>
        <w:pStyle w:val="ListParagraph"/>
        <w:numPr>
          <w:ilvl w:val="0"/>
          <w:numId w:val="2"/>
        </w:numPr>
        <w:spacing w:after="100"/>
      </w:pPr>
      <w:r>
        <w:t xml:space="preserve">Se agregaron las secciones 11 (Modificaciones), 12 (Fuerza mayor) y 13 (Divisibilidad y cesión), ausentes en la versión anterior.</w:t>
      </w:r>
    </w:p>
    <w:p>
      <w:pPr>
        <w:pStyle w:val="ListParagraph"/>
        <w:numPr>
          <w:ilvl w:val="0"/>
          <w:numId w:val="2"/>
        </w:numPr>
        <w:spacing w:after="100"/>
      </w:pPr>
      <w:r>
        <w:t xml:space="preserve">Se renumeraron las secciones de Resolución de disputas y Contacto (ahora 14 y 15).</w:t>
      </w:r>
    </w:p>
    <w:p>
      <w:pPr>
        <w:pStyle w:val="ListParagraph"/>
        <w:numPr>
          <w:ilvl w:val="0"/>
          <w:numId w:val="2"/>
        </w:numPr>
        <w:spacing w:after="100"/>
      </w:pPr>
      <w:r>
        <w:t xml:space="preserve">Se agregó la Sección 6.5 — Participación de NIDO en comisiones de cierre, y se ajustó la Sección 8 (Limitación de responsabilidad), para reflejar con precisión que NIDO sí gana comisión directamente en dos escenarios: cierres del Equipo NIDO (50/50) y contratos de corretaje directo con Propietarios (4%). La versión anterior afirmaba sin excepción que NIDO “no es parte” de las transacciones, lo cual era inexacto.</w:t>
      </w:r>
    </w:p>
    <w:p>
      <w:pPr>
        <w:pStyle w:val="Heading2"/>
      </w:pPr>
      <w:r>
        <w:t xml:space="preserve">2.2 Política de Privacidad (/privacidad)</w:t>
      </w:r>
    </w:p>
    <w:p>
      <w:pPr>
        <w:pStyle w:val="ListParagraph"/>
        <w:numPr>
          <w:ilvl w:val="0"/>
          <w:numId w:val="2"/>
        </w:numPr>
        <w:spacing w:after="100"/>
      </w:pPr>
      <w:r>
        <w:t xml:space="preserve">Se removieron las menciones a Stripe en las secciones 2.3 y 6, reemplazadas por lenguaje de activación manual y una nota de actualización futura.</w:t>
      </w:r>
    </w:p>
    <w:p>
      <w:pPr>
        <w:pStyle w:val="ListParagraph"/>
        <w:numPr>
          <w:ilvl w:val="0"/>
          <w:numId w:val="2"/>
        </w:numPr>
        <w:spacing w:after="100"/>
      </w:pPr>
      <w:r>
        <w:t xml:space="preserve">Se moderó la referencia a Anthropic/Valeria IA para reflejar con precisión el uso real de la herramienta.</w:t>
      </w:r>
    </w:p>
    <w:p>
      <w:pPr>
        <w:pStyle w:val="ListParagraph"/>
        <w:numPr>
          <w:ilvl w:val="0"/>
          <w:numId w:val="2"/>
        </w:numPr>
        <w:spacing w:after="100"/>
      </w:pPr>
      <w:r>
        <w:t xml:space="preserve">Se agregó Mapbox como procesador de datos listado (estaba en uso pero no declarado).</w:t>
      </w:r>
    </w:p>
    <w:p>
      <w:pPr>
        <w:pStyle w:val="ListParagraph"/>
        <w:numPr>
          <w:ilvl w:val="0"/>
          <w:numId w:val="2"/>
        </w:numPr>
        <w:spacing w:after="100"/>
      </w:pPr>
      <w:r>
        <w:t xml:space="preserve">Se corrigió la afirmación de la Sección 8 sobre autenticación de dos factores (2FA): decía estar disponible y en realidad está "en desarrollo, próximamente". Una política de privacidad que promete una medida de seguridad inexistente es un riesgo bajo la Ley N° 8968 (deber de informar con veracidad las medidas de seguridad aplicadas).</w:t>
      </w:r>
    </w:p>
    <w:p>
      <w:pPr>
        <w:pStyle w:val="Heading2"/>
      </w:pPr>
      <w:r>
        <w:t xml:space="preserve">2.3 Contrato de Afiliación de Asesor (/dashboard/contrato-asesor)</w:t>
      </w:r>
    </w:p>
    <w:p>
      <w:pPr>
        <w:pStyle w:val="ListParagraph"/>
        <w:numPr>
          <w:ilvl w:val="0"/>
          <w:numId w:val="2"/>
        </w:numPr>
        <w:spacing w:after="100"/>
      </w:pPr>
      <w:r>
        <w:t xml:space="preserve">Se agregó la cláusula 8 — Confidencialidad (de leads, propietarios y datos del CRM, vigente después de terminada la afiliación).</w:t>
      </w:r>
    </w:p>
    <w:p>
      <w:pPr>
        <w:pStyle w:val="ListParagraph"/>
        <w:numPr>
          <w:ilvl w:val="0"/>
          <w:numId w:val="2"/>
        </w:numPr>
        <w:spacing w:after="100"/>
      </w:pPr>
      <w:r>
        <w:t xml:space="preserve">Se agregó la cláusula 9 — Protección de datos personales, con referencia cruzada a la Ley N° 8968 y a la Política de Privacidad.</w:t>
      </w:r>
    </w:p>
    <w:p>
      <w:pPr>
        <w:pStyle w:val="ListParagraph"/>
        <w:numPr>
          <w:ilvl w:val="0"/>
          <w:numId w:val="2"/>
        </w:numPr>
        <w:spacing w:after="100"/>
      </w:pPr>
      <w:r>
        <w:t xml:space="preserve">Se agregó la cláusula 11 — Propiedades y leads al finalizar la afiliación (qué pasa con las publicaciones y el acceso al CRM cuando un asesor se da de baja).</w:t>
      </w:r>
    </w:p>
    <w:p>
      <w:pPr>
        <w:pStyle w:val="ListParagraph"/>
        <w:numPr>
          <w:ilvl w:val="0"/>
          <w:numId w:val="2"/>
        </w:numPr>
        <w:spacing w:after="100"/>
      </w:pPr>
      <w:r>
        <w:t xml:space="preserve">Se agregó la cláusula 12 — Validez de la aceptación electrónica conforme a la Ley N° 8454.</w:t>
      </w:r>
    </w:p>
    <w:p>
      <w:pPr>
        <w:pStyle w:val="ListParagraph"/>
        <w:numPr>
          <w:ilvl w:val="0"/>
          <w:numId w:val="2"/>
        </w:numPr>
        <w:spacing w:after="100"/>
      </w:pPr>
      <w:r>
        <w:t xml:space="preserve">Se corrigió la cláusula 2 — Comisión y pagos: la versión anterior decía que NIDO nunca participa en la comisión del Asesor “salvo acuerdo específico”, una excepción vaga. Ahora especifica los dos casos reales en que NIDO sí participa (Equipo NIDO 50/50; contrato directo Propietario-NIDO) y corrige además los nombres de plan desactualizados (“Pro/Enterprise” → Despega/Elite/Black).</w:t>
      </w:r>
    </w:p>
    <w:p>
      <w:pPr>
        <w:pStyle w:val="Heading2"/>
      </w:pPr>
      <w:r>
        <w:t xml:space="preserve">2.4 Addendum Equipo NIDO (/dashboard/contrato-equipo-nido)</w:t>
      </w:r>
    </w:p>
    <w:p>
      <w:pPr>
        <w:pStyle w:val="ListParagraph"/>
        <w:numPr>
          <w:ilvl w:val="0"/>
          <w:numId w:val="2"/>
        </w:numPr>
        <w:spacing w:after="100"/>
      </w:pPr>
      <w:r>
        <w:t xml:space="preserve">Se agregó la cláusula 8 — Ley aplicable y jurisdicción, integrando el addendum con el Contrato de Afiliación de Asesor y los Términos de Uso.</w:t>
      </w:r>
    </w:p>
    <w:p>
      <w:pPr>
        <w:pStyle w:val="ListParagraph"/>
        <w:numPr>
          <w:ilvl w:val="0"/>
          <w:numId w:val="2"/>
        </w:numPr>
        <w:spacing w:after="100"/>
      </w:pPr>
      <w:r>
        <w:t xml:space="preserve">Se agregó la cláusula 9 — Validez de la aceptación electrónica conforme a la Ley N° 8454.</w:t>
      </w:r>
    </w:p>
    <w:p>
      <w:pPr>
        <w:pStyle w:val="Heading2"/>
      </w:pPr>
      <w:r>
        <w:t xml:space="preserve">2.5 Contrato con Propietarios (/dashboard/propietario/contrato)</w:t>
      </w:r>
    </w:p>
    <w:p>
      <w:pPr>
        <w:pStyle w:val="ListParagraph"/>
        <w:numPr>
          <w:ilvl w:val="0"/>
          <w:numId w:val="2"/>
        </w:numPr>
        <w:spacing w:after="100"/>
      </w:pPr>
      <w:r>
        <w:t xml:space="preserve">Se agregó la cláusula "Destino de la publicación al finalizar el contrato": NIDO debe retirar la propiedad del portal dentro de 5 días hábiles tras la terminación, salvo solicitud de retiro inmediato del propietario.</w:t>
      </w:r>
    </w:p>
    <w:p>
      <w:pPr>
        <w:pStyle w:val="ListParagraph"/>
        <w:numPr>
          <w:ilvl w:val="0"/>
          <w:numId w:val="2"/>
        </w:numPr>
        <w:spacing w:after="100"/>
      </w:pPr>
      <w:r>
        <w:t xml:space="preserve">Se corrigió el párrafo de validez de firma al final del contrato. La versión anterior igualaba, sin distinción, la firma digital GAUDI y una firma física escaneada con "la misma validez legal que una firma autógrafa ante notario" — una afirmación jurídicamente imprecisa, porque (a) un documento firmado por las partes nunca adquiere por sí solo el carácter de instrumento público o autenticación notarial, y (b) una firma física fotografiada no tiene la misma fuerza probatoria que un certificado digital calificado bajo la Ley N° 8454. Se corrigió para reconocer la equivalencia plena de la firma GAUDI con la firma autógrafa (Art. 8, Ley 8454), mientras que la firma física escaneada se describe como una manifestación de voluntad válida cuya fuerza probatoria en caso de disputa depende de la valoración judicial de la prueba — y se aclaró expresamente que el documento es un contrato privado, no un instrumento público ni una autenticación notarial.</w:t>
      </w:r>
    </w:p>
    <w:p>
      <w:pPr>
        <w:pStyle w:val="Heading1"/>
      </w:pPr>
      <w:r>
        <w:t xml:space="preserve">3. Riesgos legales abiertos — requieren validación de un abogado costarricense</w:t>
      </w:r>
    </w:p>
    <w:p>
      <w:pPr>
        <w:spacing w:after="160"/>
      </w:pPr>
      <w:r>
        <w:t xml:space="preserve">Esta tabla ordena los riesgos por impacto potencial. Ninguno de estos puntos fue resuelto en esta revisión: requieren una decisión de negocio informada por asesoría legal especializada en derecho inmobiliario, societario y de protección de datos en Costa 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200"/>
        <w:gridCol w:w="1860"/>
        <w:gridCol w:w="2800"/>
      </w:tblGrid>
      <w:tr>
        <w:trPr>
          <w:tblHeader/>
        </w:trPr>
        <w:tc>
          <w:tcPr>
            <w:tcW w:type="dxa" w:w="500"/>
            <w:tcBorders>
              <w:top w:val="single" w:color="CCCCCC" w:sz="4"/>
              <w:left w:val="single" w:color="CCCCCC" w:sz="4"/>
              <w:bottom w:val="single" w:color="CCCCCC" w:sz="4"/>
              <w:right w:val="single" w:color="CCCCCC" w:sz="4"/>
            </w:tcBorders>
            <w:shd w:fill="2E5339" w:val="clear"/>
            <w:tcMar>
              <w:top w:type="dxa" w:w="80"/>
              <w:left w:type="dxa" w:w="100"/>
              <w:bottom w:type="dxa" w:w="80"/>
              <w:right w:type="dxa" w:w="100"/>
            </w:tcMar>
          </w:tcPr>
          <w:p>
            <w:r>
              <w:rPr>
                <w:b/>
                <w:bCs/>
                <w:color w:val="FFFFFF"/>
                <w:sz w:val="19"/>
                <w:szCs w:val="19"/>
              </w:rPr>
              <w:t xml:space="preserve">#</w:t>
            </w:r>
          </w:p>
        </w:tc>
        <w:tc>
          <w:tcPr>
            <w:tcW w:type="dxa" w:w="3000"/>
            <w:tcBorders>
              <w:top w:val="single" w:color="CCCCCC" w:sz="4"/>
              <w:left w:val="single" w:color="CCCCCC" w:sz="4"/>
              <w:bottom w:val="single" w:color="CCCCCC" w:sz="4"/>
              <w:right w:val="single" w:color="CCCCCC" w:sz="4"/>
            </w:tcBorders>
            <w:shd w:fill="2E5339" w:val="clear"/>
            <w:tcMar>
              <w:top w:type="dxa" w:w="80"/>
              <w:left w:type="dxa" w:w="100"/>
              <w:bottom w:type="dxa" w:w="80"/>
              <w:right w:type="dxa" w:w="100"/>
            </w:tcMar>
          </w:tcPr>
          <w:p>
            <w:r>
              <w:rPr>
                <w:b/>
                <w:bCs/>
                <w:color w:val="FFFFFF"/>
                <w:sz w:val="19"/>
                <w:szCs w:val="19"/>
              </w:rPr>
              <w:t xml:space="preserve">Riesgo</w:t>
            </w:r>
          </w:p>
        </w:tc>
        <w:tc>
          <w:tcPr>
            <w:tcW w:type="dxa" w:w="1200"/>
            <w:tcBorders>
              <w:top w:val="single" w:color="CCCCCC" w:sz="4"/>
              <w:left w:val="single" w:color="CCCCCC" w:sz="4"/>
              <w:bottom w:val="single" w:color="CCCCCC" w:sz="4"/>
              <w:right w:val="single" w:color="CCCCCC" w:sz="4"/>
            </w:tcBorders>
            <w:shd w:fill="2E5339" w:val="clear"/>
            <w:tcMar>
              <w:top w:type="dxa" w:w="80"/>
              <w:left w:type="dxa" w:w="100"/>
              <w:bottom w:type="dxa" w:w="80"/>
              <w:right w:type="dxa" w:w="100"/>
            </w:tcMar>
          </w:tcPr>
          <w:p>
            <w:r>
              <w:rPr>
                <w:b/>
                <w:bCs/>
                <w:color w:val="FFFFFF"/>
                <w:sz w:val="19"/>
                <w:szCs w:val="19"/>
              </w:rPr>
              <w:t xml:space="preserve">Nivel</w:t>
            </w:r>
          </w:p>
        </w:tc>
        <w:tc>
          <w:tcPr>
            <w:tcW w:type="dxa" w:w="1860"/>
            <w:tcBorders>
              <w:top w:val="single" w:color="CCCCCC" w:sz="4"/>
              <w:left w:val="single" w:color="CCCCCC" w:sz="4"/>
              <w:bottom w:val="single" w:color="CCCCCC" w:sz="4"/>
              <w:right w:val="single" w:color="CCCCCC" w:sz="4"/>
            </w:tcBorders>
            <w:shd w:fill="2E5339" w:val="clear"/>
            <w:tcMar>
              <w:top w:type="dxa" w:w="80"/>
              <w:left w:type="dxa" w:w="100"/>
              <w:bottom w:type="dxa" w:w="80"/>
              <w:right w:type="dxa" w:w="100"/>
            </w:tcMar>
          </w:tcPr>
          <w:p>
            <w:r>
              <w:rPr>
                <w:b/>
                <w:bCs/>
                <w:color w:val="FFFFFF"/>
                <w:sz w:val="19"/>
                <w:szCs w:val="19"/>
              </w:rPr>
              <w:t xml:space="preserve">Documento(s)</w:t>
            </w:r>
          </w:p>
        </w:tc>
        <w:tc>
          <w:tcPr>
            <w:tcW w:type="dxa" w:w="2800"/>
            <w:tcBorders>
              <w:top w:val="single" w:color="CCCCCC" w:sz="4"/>
              <w:left w:val="single" w:color="CCCCCC" w:sz="4"/>
              <w:bottom w:val="single" w:color="CCCCCC" w:sz="4"/>
              <w:right w:val="single" w:color="CCCCCC" w:sz="4"/>
            </w:tcBorders>
            <w:shd w:fill="2E5339" w:val="clear"/>
            <w:tcMar>
              <w:top w:type="dxa" w:w="80"/>
              <w:left w:type="dxa" w:w="100"/>
              <w:bottom w:type="dxa" w:w="80"/>
              <w:right w:type="dxa" w:w="100"/>
            </w:tcMar>
          </w:tcPr>
          <w:p>
            <w:r>
              <w:rPr>
                <w:b/>
                <w:bCs/>
                <w:color w:val="FFFFFF"/>
                <w:sz w:val="19"/>
                <w:szCs w:val="19"/>
              </w:rPr>
              <w:t xml:space="preserve">Por qué importa / qué falta</w:t>
            </w:r>
          </w:p>
        </w:tc>
      </w:tr>
      <w:tr>
        <w:tc>
          <w:tcPr>
            <w:tcW w:type="dxa" w:w="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1</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NIDO requiere licencia de corretaje de bienes raíces</w:t>
            </w:r>
          </w:p>
        </w:tc>
        <w:tc>
          <w:tcPr>
            <w:tcW w:type="dxa" w:w="12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tcPr>
          <w:p>
            <w:r>
              <w:rPr>
                <w:b/>
                <w:bCs/>
                <w:color w:val="FFFFFF"/>
                <w:sz w:val="18"/>
                <w:szCs w:val="18"/>
              </w:rPr>
              <w:t xml:space="preserve">ALTO</w:t>
            </w:r>
          </w:p>
        </w:tc>
        <w:tc>
          <w:tcPr>
            <w:tcW w:type="dxa" w:w="18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Contrato Propietarios, Términos de Uso, Contrato Asesor</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Tras aclarar el modelo de negocio (ver nota debajo de la tabla), queda confirmado que NIDO gana comisión directamente como “EL CORREDOR” en los contratos directos con Propietarios (4%) y como beneficiario del reparto 50/50 en cierres del Equipo NIDO. Eso refuerza, no elimina, la pregunta de si NIDO necesita habilitación profesional para ejercer el corretaje inmobiliario en Costa Rica, al menos para la modalidad de contrato directo. No determinado en esta revisión.</w:t>
            </w:r>
          </w:p>
        </w:tc>
      </w:tr>
      <w:tr>
        <w:tc>
          <w:tcPr>
            <w:tcW w:type="dxa" w:w="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2</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Ley 8204 — ¿NIDO es sujeto obligado de AML/KYC?</w:t>
            </w:r>
          </w:p>
        </w:tc>
        <w:tc>
          <w:tcPr>
            <w:tcW w:type="dxa" w:w="1200"/>
            <w:tcBorders>
              <w:top w:val="single" w:color="CCCCCC" w:sz="4"/>
              <w:left w:val="single" w:color="CCCCCC" w:sz="4"/>
              <w:bottom w:val="single" w:color="CCCCCC" w:sz="4"/>
              <w:right w:val="single" w:color="CCCCCC" w:sz="4"/>
            </w:tcBorders>
            <w:shd w:fill="C0392B" w:val="clear"/>
            <w:tcMar>
              <w:top w:type="dxa" w:w="80"/>
              <w:left w:type="dxa" w:w="100"/>
              <w:bottom w:type="dxa" w:w="80"/>
              <w:right w:type="dxa" w:w="100"/>
            </w:tcMar>
          </w:tcPr>
          <w:p>
            <w:r>
              <w:rPr>
                <w:b/>
                <w:bCs/>
                <w:color w:val="FFFFFF"/>
                <w:sz w:val="18"/>
                <w:szCs w:val="18"/>
              </w:rPr>
              <w:t xml:space="preserve">ALTO</w:t>
            </w:r>
          </w:p>
        </w:tc>
        <w:tc>
          <w:tcPr>
            <w:tcW w:type="dxa" w:w="18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Contrato Propietarios, Contrato Asesor</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Reforzado por el mismo hallazgo: al ser NIDO parte económica directa (no solo tecnológica) en dos rutas de cierre, la pregunta de si califica como sujeto obligado bajo la Ley 8204 (legitimación de capitales) gana relevancia. Marcado explícitamente como abierto por instrucción del usuario; no se intentó resolver aquí.</w:t>
            </w:r>
          </w:p>
        </w:tc>
      </w:tr>
      <w:tr>
        <w:tc>
          <w:tcPr>
            <w:tcW w:type="dxa" w:w="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Cláusula penal 2% por incumplimiento de exclusividad</w:t>
            </w:r>
          </w:p>
        </w:tc>
        <w:tc>
          <w:tcPr>
            <w:tcW w:type="dxa" w:w="1200"/>
            <w:tcBorders>
              <w:top w:val="single" w:color="CCCCCC" w:sz="4"/>
              <w:left w:val="single" w:color="CCCCCC" w:sz="4"/>
              <w:bottom w:val="single" w:color="CCCCCC" w:sz="4"/>
              <w:right w:val="single" w:color="CCCCCC" w:sz="4"/>
            </w:tcBorders>
            <w:shd w:fill="B7950B" w:val="clear"/>
            <w:tcMar>
              <w:top w:type="dxa" w:w="80"/>
              <w:left w:type="dxa" w:w="100"/>
              <w:bottom w:type="dxa" w:w="80"/>
              <w:right w:type="dxa" w:w="100"/>
            </w:tcMar>
          </w:tcPr>
          <w:p>
            <w:r>
              <w:rPr>
                <w:b/>
                <w:bCs/>
                <w:color w:val="FFFFFF"/>
                <w:sz w:val="18"/>
                <w:szCs w:val="18"/>
              </w:rPr>
              <w:t xml:space="preserve">MEDIO</w:t>
            </w:r>
          </w:p>
        </w:tc>
        <w:tc>
          <w:tcPr>
            <w:tcW w:type="dxa" w:w="18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Contrato Propietarios, Cláusula Cuarta</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La indemnización fija del 2% del precio de lista por incumplir la exclusividad puede analizarse como cláusula penal bajo el Código Civil costarricense. Su exigibilidad y eventual moderación judicial (si se considera desproporcionada) no fueron evaluadas.</w:t>
            </w:r>
          </w:p>
        </w:tc>
      </w:tr>
      <w:tr>
        <w:tc>
          <w:tcPr>
            <w:tcW w:type="dxa" w:w="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4</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Vacío de no-solicitación en Addendum Equipo NIDO</w:t>
            </w:r>
          </w:p>
        </w:tc>
        <w:tc>
          <w:tcPr>
            <w:tcW w:type="dxa" w:w="1200"/>
            <w:tcBorders>
              <w:top w:val="single" w:color="CCCCCC" w:sz="4"/>
              <w:left w:val="single" w:color="CCCCCC" w:sz="4"/>
              <w:bottom w:val="single" w:color="CCCCCC" w:sz="4"/>
              <w:right w:val="single" w:color="CCCCCC" w:sz="4"/>
            </w:tcBorders>
            <w:shd w:fill="B7950B" w:val="clear"/>
            <w:tcMar>
              <w:top w:type="dxa" w:w="80"/>
              <w:left w:type="dxa" w:w="100"/>
              <w:bottom w:type="dxa" w:w="80"/>
              <w:right w:type="dxa" w:w="100"/>
            </w:tcMar>
          </w:tcPr>
          <w:p>
            <w:r>
              <w:rPr>
                <w:b/>
                <w:bCs/>
                <w:color w:val="FFFFFF"/>
                <w:sz w:val="18"/>
                <w:szCs w:val="18"/>
              </w:rPr>
              <w:t xml:space="preserve">MEDIO</w:t>
            </w:r>
          </w:p>
        </w:tc>
        <w:tc>
          <w:tcPr>
            <w:tcW w:type="dxa" w:w="18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Addendum Equipo NIDO</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El addendum no incluye una cláusula de no-solicitación de leads, propietarios o asesores del equipo tras la salida de un asesor, más allá de la obligación general de confidencialidad. Esto deja abierta la posibilidad de que un asesor saliente compita usando la cartera construida dentro del Equipo NIDO.</w:t>
            </w:r>
          </w:p>
        </w:tc>
      </w:tr>
      <w:tr>
        <w:tc>
          <w:tcPr>
            <w:tcW w:type="dxa" w:w="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5</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Cumplimiento a fondo de la Ley 8968 (PRODHAB)</w:t>
            </w:r>
          </w:p>
        </w:tc>
        <w:tc>
          <w:tcPr>
            <w:tcW w:type="dxa" w:w="1200"/>
            <w:tcBorders>
              <w:top w:val="single" w:color="CCCCCC" w:sz="4"/>
              <w:left w:val="single" w:color="CCCCCC" w:sz="4"/>
              <w:bottom w:val="single" w:color="CCCCCC" w:sz="4"/>
              <w:right w:val="single" w:color="CCCCCC" w:sz="4"/>
            </w:tcBorders>
            <w:shd w:fill="B7950B" w:val="clear"/>
            <w:tcMar>
              <w:top w:type="dxa" w:w="80"/>
              <w:left w:type="dxa" w:w="100"/>
              <w:bottom w:type="dxa" w:w="80"/>
              <w:right w:type="dxa" w:w="100"/>
            </w:tcMar>
          </w:tcPr>
          <w:p>
            <w:r>
              <w:rPr>
                <w:b/>
                <w:bCs/>
                <w:color w:val="FFFFFF"/>
                <w:sz w:val="18"/>
                <w:szCs w:val="18"/>
              </w:rPr>
              <w:t xml:space="preserve">MEDIO</w:t>
            </w:r>
          </w:p>
        </w:tc>
        <w:tc>
          <w:tcPr>
            <w:tcW w:type="dxa" w:w="18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Política de Privacidad</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Se corrigieron inconsistencias puntuales (Stripe, 2FA, Mapbox), pero no se realizó una auditoría formal de cumplimiento con todos los principios de la Ley 8968 (consentimiento informado, transferencias internacionales de datos, derechos ARCO, registro ante PRODHAB si aplica).</w:t>
            </w:r>
          </w:p>
        </w:tc>
      </w:tr>
      <w:tr>
        <w:tc>
          <w:tcPr>
            <w:tcW w:type="dxa" w:w="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6</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Validez probatoria de la firma física escaneada</w:t>
            </w:r>
          </w:p>
        </w:tc>
        <w:tc>
          <w:tcPr>
            <w:tcW w:type="dxa" w:w="1200"/>
            <w:tcBorders>
              <w:top w:val="single" w:color="CCCCCC" w:sz="4"/>
              <w:left w:val="single" w:color="CCCCCC" w:sz="4"/>
              <w:bottom w:val="single" w:color="CCCCCC" w:sz="4"/>
              <w:right w:val="single" w:color="CCCCCC" w:sz="4"/>
            </w:tcBorders>
            <w:shd w:fill="5D6D7E" w:val="clear"/>
            <w:tcMar>
              <w:top w:type="dxa" w:w="80"/>
              <w:left w:type="dxa" w:w="100"/>
              <w:bottom w:type="dxa" w:w="80"/>
              <w:right w:type="dxa" w:w="100"/>
            </w:tcMar>
          </w:tcPr>
          <w:p>
            <w:r>
              <w:rPr>
                <w:b/>
                <w:bCs/>
                <w:color w:val="FFFFFF"/>
                <w:sz w:val="18"/>
                <w:szCs w:val="18"/>
              </w:rPr>
              <w:t xml:space="preserve">BAJO</w:t>
            </w:r>
          </w:p>
        </w:tc>
        <w:tc>
          <w:tcPr>
            <w:tcW w:type="dxa" w:w="186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Contrato Propietarios</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b w:val="false"/>
                <w:bCs w:val="false"/>
                <w:sz w:val="18"/>
                <w:szCs w:val="18"/>
              </w:rPr>
              <w:t xml:space="preserve">Ya corregida la afirmación de equivalencia plena con firma notarial (ver 2.5), pero la firma física escaneada sigue siendo, en sí misma, un medio de prueba más débil que la firma digital GAUDI ante un eventual litigio. Vale la pena evaluar si conviene incentivar GAUDI como medio preferente.</w:t>
            </w:r>
          </w:p>
        </w:tc>
      </w:tr>
    </w:tbl>
    <w:p>
      <w:pPr>
        <w:spacing w:before="240"/>
      </w:pPr>
    </w:p>
    <w:p>
      <w:pPr>
        <w:pStyle w:val="Heading1"/>
      </w:pPr>
      <w:r>
        <w:t xml:space="preserve">4. Recomendación final</w:t>
      </w:r>
    </w:p>
    <w:p>
      <w:pPr>
        <w:spacing w:after="160"/>
      </w:pPr>
      <w:r>
        <w:t xml:space="preserve">Las correcciones aplicadas en esta revisión eliminan inconsistencias evidentes entre lo que dicen los contratos y lo que la plataforma hace, y agregan cláusulas estándar de protección que antes faltaban. Eso reduce el riesgo de reclamos por publicidad engañosa o incumplimiento contractual basados en afirmaciones falsas (Stripe, 2FA, planes desactualizados).</w:t>
      </w:r>
    </w:p>
    <w:p>
      <w:pPr>
        <w:spacing w:after="160"/>
      </w:pPr>
      <w:r>
        <w:t xml:space="preserve">Sin embargo, los siete puntos de la sección 3 — en particular la contradicción entre “plataforma neutral” y “EL CORREDOR”, y la pregunta de si NIDO es sujeto obligado bajo la Ley 8204 — son decisiones estructurales que determinan el modelo de responsabilidad legal de todo el negocio. No deben resolverse por la vía de redactar texto contractual sin respaldo profesional.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39" w:sz="4"/>
              <w:left w:val="single" w:color="2E5339" w:sz="24"/>
              <w:bottom w:val="single" w:color="2E5339" w:sz="4"/>
              <w:right w:val="single" w:color="2E5339" w:sz="4"/>
            </w:tcBorders>
            <w:shd w:fill="FBEAEA" w:val="clear"/>
            <w:tcMar>
              <w:top w:type="dxa" w:w="160"/>
              <w:left w:type="dxa" w:w="220"/>
              <w:bottom w:type="dxa" w:w="160"/>
              <w:right w:type="dxa" w:w="220"/>
            </w:tcMar>
          </w:tcPr>
          <w:p>
            <w:pPr>
              <w:spacing w:after="0"/>
            </w:pPr>
            <w:r>
              <w:rPr>
                <w:b w:val="false"/>
                <w:bCs w:val="false"/>
                <w:sz w:val="21"/>
                <w:szCs w:val="21"/>
              </w:rPr>
              <w:t xml:space="preserve">Antes de operar a mayor escala (más propiedades, más volumen de comisiones, más usuarios), se recomienda una revisión completa de estos cinco documentos por un abogado costarricense colegiado, con énfasis en derecho inmobiliario, protección de datos (Ley 8968) y, si aplica, cumplimiento de legitimación de capitales (Ley 8204). Esta revisión asistida por IA es un punto de partida sólido, no un sustituto de esa validación.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NIDO · Memo de revisión legal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39" w:sz="6" w:space="4"/>
      </w:pBdr>
      <w:spacing w:after="200" w:before="360"/>
      <w:outlineLvl w:val="0"/>
    </w:pPr>
    <w:rPr>
      <w:rFonts w:ascii="Arial" w:cs="Arial" w:eastAsia="Arial" w:hAnsi="Arial"/>
      <w:b/>
      <w:bCs/>
      <w:color w:val="2E5339"/>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2026-06-30T23:16:46.469Z</dcterms:created>
  <dcterms:modified xsi:type="dcterms:W3CDTF">2026-06-30T23:16:46.469Z</dcterms:modified>
</cp:coreProperties>
</file>

<file path=docProps/custom.xml><?xml version="1.0" encoding="utf-8"?>
<Properties xmlns="http://schemas.openxmlformats.org/officeDocument/2006/custom-properties" xmlns:vt="http://schemas.openxmlformats.org/officeDocument/2006/docPropsVTypes"/>
</file>