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t xml:space="preserve"/>
      </w:r>
    </w:p>
    <w:p>
      <w:pPr>
        <w:shd w:fill="1B3A6B" w:val="clear"/>
        <w:spacing w:after="0" w:before="200"/>
        <w:jc w:val="center"/>
      </w:pPr>
      <w:r>
        <w:rPr>
          <w:rFonts w:ascii="Arial" w:cs="Arial" w:eastAsia="Arial" w:hAnsi="Arial"/>
          <w:b/>
          <w:bCs/>
          <w:color w:val="FFFFFF"/>
          <w:sz w:val="52"/>
          <w:szCs w:val="52"/>
        </w:rPr>
        <w:t xml:space="preserve">ADJUTOR API PLATFORM</w:t>
      </w:r>
    </w:p>
    <w:p>
      <w:pPr>
        <w:shd w:fill="1B3A6B" w:val="clear"/>
        <w:spacing w:after="200" w:before="0"/>
        <w:jc w:val="center"/>
      </w:pPr>
      <w:r>
        <w:rPr>
          <w:rFonts w:ascii="Arial" w:cs="Arial" w:eastAsia="Arial" w:hAnsi="Arial"/>
          <w:i/>
          <w:iCs/>
          <w:color w:val="D0EFEF"/>
          <w:sz w:val="30"/>
          <w:szCs w:val="30"/>
        </w:rPr>
        <w:t xml:space="preserve">Quality Assurance Assessment Report</w:t>
      </w:r>
    </w:p>
    <w:p>
      <w:pPr>
        <w:spacing w:after="120" w:before="200"/>
      </w:pPr>
      <w:r>
        <w:t xml:space="preserve"/>
      </w:r>
    </w:p>
    <w:p>
      <w:pPr>
        <w:spacing w:after="60" w:before="120"/>
        <w:jc w:val="center"/>
      </w:pPr>
      <w:r>
        <w:rPr>
          <w:rFonts w:ascii="Arial" w:cs="Arial" w:eastAsia="Arial" w:hAnsi="Arial"/>
          <w:b/>
          <w:bCs/>
          <w:color w:val="4A4A4A"/>
          <w:sz w:val="22"/>
          <w:szCs w:val="22"/>
        </w:rPr>
        <w:t xml:space="preserve">Prepared for:</w:t>
      </w:r>
    </w:p>
    <w:p>
      <w:pPr>
        <w:spacing w:after="60" w:before="0"/>
        <w:jc w:val="center"/>
      </w:pPr>
      <w:r>
        <w:rPr>
          <w:rFonts w:ascii="Arial" w:cs="Arial" w:eastAsia="Arial" w:hAnsi="Arial"/>
          <w:b/>
          <w:bCs/>
          <w:color w:val="1B3A6B"/>
          <w:sz w:val="26"/>
          <w:szCs w:val="26"/>
        </w:rPr>
        <w:t xml:space="preserve">Capital Credit Limited — Capital Cash Application</w:t>
      </w:r>
    </w:p>
    <w:p>
      <w:pPr>
        <w:spacing w:after="200" w:before="0"/>
        <w:jc w:val="center"/>
      </w:pPr>
      <w:r>
        <w:rPr>
          <w:rFonts w:ascii="Arial" w:cs="Arial" w:eastAsia="Arial" w:hAnsi="Arial"/>
          <w:color w:val="4A4A4A"/>
          <w:sz w:val="20"/>
          <w:szCs w:val="20"/>
        </w:rPr>
        <w:t xml:space="preserve">CEO  |  Product Manager  |  Engineering Manager</w:t>
      </w:r>
    </w:p>
    <w:p>
      <w:pPr>
        <w:spacing w:after="120" w:before="200"/>
      </w:pPr>
      <w:r>
        <w:t xml:space="preserve"/>
      </w:r>
    </w:p>
    <w:p>
      <w:pPr>
        <w:spacing w:after="40" w:before="60"/>
        <w:jc w:val="center"/>
      </w:pPr>
      <w:r>
        <w:rPr>
          <w:rFonts w:ascii="Arial" w:cs="Arial" w:eastAsia="Arial" w:hAnsi="Arial"/>
          <w:b/>
          <w:bCs/>
          <w:color w:val="1A1A1A"/>
          <w:sz w:val="20"/>
          <w:szCs w:val="20"/>
        </w:rPr>
        <w:t xml:space="preserve">Platform Under Test:</w:t>
      </w:r>
    </w:p>
    <w:p>
      <w:pPr>
        <w:spacing w:after="200" w:before="0"/>
        <w:jc w:val="center"/>
      </w:pPr>
      <w:r>
        <w:rPr>
          <w:rFonts w:ascii="Arial" w:cs="Arial" w:eastAsia="Arial" w:hAnsi="Arial"/>
          <w:color w:val="0E7C7B"/>
          <w:sz w:val="20"/>
          <w:szCs w:val="20"/>
        </w:rPr>
        <w:t xml:space="preserve">Lendsqr Adjutor API  ·  app.adjutor.io  ·  adjutor.lendsqr.com/v2</w:t>
      </w:r>
    </w:p>
    <w:p>
      <w:pPr>
        <w:spacing w:after="120" w:before="200"/>
      </w:pPr>
      <w:r>
        <w:t xml:space="preserve"/>
      </w:r>
    </w:p>
    <w:p>
      <w:pPr>
        <w:spacing w:after="60" w:before="60"/>
        <w:jc w:val="center"/>
      </w:pPr>
      <w:r>
        <w:rPr>
          <w:rFonts w:ascii="Arial" w:cs="Arial" w:eastAsia="Arial" w:hAnsi="Arial"/>
          <w:color w:val="4A4A4A"/>
          <w:sz w:val="18"/>
          <w:szCs w:val="18"/>
        </w:rPr>
        <w:t xml:space="preserve">Currency: Nigerian Naira (NGN ₦)  ·  May 2026</w:t>
      </w:r>
    </w:p>
    <w:p>
      <w:pPr>
        <w:pStyle w:val="Heading1"/>
        <w:pageBreakBefore/>
        <w:pBdr>
          <w:bottom w:val="thick" w:color="0E7C7B" w:sz="12"/>
        </w:pBdr>
        <w:shd w:fill="1B3A6B" w:val="clear"/>
        <w:spacing w:after="240" w:before="0"/>
        <w:ind w:left="180" w:right="180"/>
      </w:pPr>
      <w:r>
        <w:rPr>
          <w:rFonts w:ascii="Arial" w:cs="Arial" w:eastAsia="Arial" w:hAnsi="Arial"/>
          <w:b/>
          <w:bCs/>
          <w:color w:val="FFFFFF"/>
          <w:sz w:val="30"/>
          <w:szCs w:val="30"/>
        </w:rPr>
        <w:t xml:space="preserve">Executive Summary</w:t>
      </w:r>
    </w:p>
    <w:p>
      <w:pPr>
        <w:spacing w:after="80" w:before="60"/>
      </w:pPr>
      <w:r>
        <w:rPr>
          <w:rFonts w:ascii="Arial" w:cs="Arial" w:eastAsia="Arial" w:hAnsi="Arial"/>
          <w:color w:val="1A1A1A"/>
          <w:sz w:val="21"/>
          <w:szCs w:val="21"/>
        </w:rPr>
        <w:t xml:space="preserve">This report presents the findings of a comprehensive Quality Assurance assessment conducted on the Lendsqr Adjutor API platform on behalf of Capital Credit Limited. The purpose is to provide the CEO, Product Manager, and Engineering Manager with an evidence-based recommendation on whether to adopt the Adjutor platform as the core API infrastructure for the Capital Cash lending application.</w:t>
      </w:r>
    </w:p>
    <w:p>
      <w:pPr>
        <w:spacing w:after="120" w:before="0"/>
      </w:pPr>
      <w:r>
        <w:t xml:space="preserve"/>
      </w:r>
    </w:p>
    <w:p>
      <w:pPr>
        <w:spacing w:after="80" w:before="60"/>
      </w:pPr>
      <w:r>
        <w:rPr>
          <w:rFonts w:ascii="Arial" w:cs="Arial" w:eastAsia="Arial" w:hAnsi="Arial"/>
          <w:color w:val="1A1A1A"/>
          <w:sz w:val="21"/>
          <w:szCs w:val="21"/>
        </w:rPr>
        <w:t xml:space="preserve">Four assessment areas were covered:</w:t>
      </w:r>
    </w:p>
    <w:p>
      <w:pPr>
        <w:pStyle w:val="ListParagraph"/>
        <w:numPr>
          <w:ilvl w:val="0"/>
          <w:numId w:val="2"/>
        </w:numPr>
        <w:spacing w:after="40" w:before="40"/>
      </w:pPr>
      <w:r>
        <w:rPr>
          <w:rFonts w:ascii="Arial" w:cs="Arial" w:eastAsia="Arial" w:hAnsi="Arial"/>
          <w:b w:val="false"/>
          <w:bCs w:val="false"/>
          <w:color w:val="1A1A1A"/>
          <w:sz w:val="21"/>
          <w:szCs w:val="21"/>
        </w:rPr>
        <w:t xml:space="preserve">Task 1 — Manual test script design covering Signup, Login, and API Key Retrieval flows (30 test cases)</w:t>
      </w:r>
    </w:p>
    <w:p>
      <w:pPr>
        <w:pStyle w:val="ListParagraph"/>
        <w:numPr>
          <w:ilvl w:val="0"/>
          <w:numId w:val="2"/>
        </w:numPr>
        <w:spacing w:after="40" w:before="40"/>
      </w:pPr>
      <w:r>
        <w:rPr>
          <w:rFonts w:ascii="Arial" w:cs="Arial" w:eastAsia="Arial" w:hAnsi="Arial"/>
          <w:b w:val="false"/>
          <w:bCs w:val="false"/>
          <w:color w:val="1A1A1A"/>
          <w:sz w:val="21"/>
          <w:szCs w:val="21"/>
        </w:rPr>
        <w:t xml:space="preserve">Task 2 — Automated test scripts for the Nigerian Country Specific Endpoints: Karma Lookup, Ecosystem Lookup, BVN Verification, and Bank Account Verification (44 test cases across 4 API modules)</w:t>
      </w:r>
    </w:p>
    <w:p>
      <w:pPr>
        <w:pStyle w:val="ListParagraph"/>
        <w:numPr>
          <w:ilvl w:val="0"/>
          <w:numId w:val="2"/>
        </w:numPr>
        <w:spacing w:after="40" w:before="40"/>
      </w:pPr>
      <w:r>
        <w:rPr>
          <w:rFonts w:ascii="Arial" w:cs="Arial" w:eastAsia="Arial" w:hAnsi="Arial"/>
          <w:b w:val="false"/>
          <w:bCs w:val="false"/>
          <w:color w:val="1A1A1A"/>
          <w:sz w:val="21"/>
          <w:szCs w:val="21"/>
        </w:rPr>
        <w:t xml:space="preserve">Task 3 — Performance analysis of observed API response times with actionable improvement recommendations</w:t>
      </w:r>
    </w:p>
    <w:p>
      <w:pPr>
        <w:pStyle w:val="ListParagraph"/>
        <w:numPr>
          <w:ilvl w:val="0"/>
          <w:numId w:val="2"/>
        </w:numPr>
        <w:spacing w:after="40" w:before="40"/>
      </w:pPr>
      <w:r>
        <w:rPr>
          <w:rFonts w:ascii="Arial" w:cs="Arial" w:eastAsia="Arial" w:hAnsi="Arial"/>
          <w:b w:val="false"/>
          <w:bCs w:val="false"/>
          <w:color w:val="1A1A1A"/>
          <w:sz w:val="21"/>
          <w:szCs w:val="21"/>
        </w:rPr>
        <w:t xml:space="preserve">Task 4 — Security vulnerability assessment benchmarked against the OWASP API Security Top 10</w:t>
      </w:r>
    </w:p>
    <w:p>
      <w:pPr>
        <w:spacing w:after="120" w:before="0"/>
      </w:pPr>
      <w:r>
        <w:t xml:space="preserve"/>
      </w:r>
    </w:p>
    <w:p>
      <w:pPr>
        <w:pBdr>
          <w:left w:val="single" w:color="0E7C7B" w:sz="18"/>
        </w:pBdr>
        <w:shd w:fill="D6E4F0" w:val="clear"/>
        <w:spacing w:after="140" w:before="140"/>
        <w:ind w:left="360" w:right="360"/>
      </w:pPr>
      <w:r>
        <w:rPr>
          <w:rFonts w:ascii="Arial" w:cs="Arial" w:eastAsia="Arial" w:hAnsi="Arial"/>
          <w:i/>
          <w:iCs/>
          <w:color w:val="1A1A1A"/>
          <w:sz w:val="20"/>
          <w:szCs w:val="20"/>
        </w:rPr>
        <w:t xml:space="preserve">Overall Verdict: The Adjutor platform demonstrates solid authentication enforcement, consistent input validation, and zero unexpected 5xx server errors across all 44 automated test cases. However, the Ecosystem Lookup endpoint sits in the Slow performance band (avg 531ms), and two medium-severity security findings — a missing rate-limiting implementation and a potential SSRF vector in the BVN image match endpoint — are recommended for remediation before Capital Cash goes live.</w:t>
      </w:r>
    </w:p>
    <w:p>
      <w:pPr>
        <w:spacing w:after="120" w:before="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2560"/>
      </w:tblGrid>
      <w:tr>
        <w:trPr>
          <w:tblHeader/>
        </w:trPr>
        <w:tc>
          <w:tcPr>
            <w:tcW w:type="dxa" w:w="32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Assessment Metric</w:t>
            </w:r>
          </w:p>
        </w:tc>
        <w:tc>
          <w:tcPr>
            <w:tcW w:type="dxa" w:w="288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Result</w:t>
            </w:r>
          </w:p>
        </w:tc>
        <w:tc>
          <w:tcPr>
            <w:tcW w:type="dxa" w:w="256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Status</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Total Automated Test Cases</w:t>
            </w:r>
          </w:p>
        </w:tc>
        <w:tc>
          <w:tcPr>
            <w:tcW w:type="dxa" w:w="28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44</w:t>
            </w:r>
          </w:p>
        </w:tc>
        <w:tc>
          <w:tcPr>
            <w:tcW w:type="dxa" w:w="25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
            </w:r>
          </w:p>
        </w:tc>
      </w:tr>
      <w:tr>
        <w:tc>
          <w:tcPr>
            <w:tcW w:type="dxa" w:w="3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Auth-Independent Tests Passed</w:t>
            </w:r>
          </w:p>
        </w:tc>
        <w:tc>
          <w:tcPr>
            <w:tcW w:type="dxa" w:w="288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26 / 26</w:t>
            </w:r>
          </w:p>
        </w:tc>
        <w:tc>
          <w:tcPr>
            <w:tcW w:type="dxa" w:w="25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All Pass</w:t>
            </w:r>
          </w:p>
        </w:tc>
      </w:tr>
      <w:tr>
        <w:tc>
          <w:tcPr>
            <w:tcW w:type="dxa" w:w="32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Auth-Gated Tests (need live key)</w:t>
            </w:r>
          </w:p>
        </w:tc>
        <w:tc>
          <w:tcPr>
            <w:tcW w:type="dxa" w:w="288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18</w:t>
            </w:r>
          </w:p>
        </w:tc>
        <w:tc>
          <w:tcPr>
            <w:tcW w:type="dxa" w:w="256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Pending Key</w:t>
            </w:r>
          </w:p>
        </w:tc>
      </w:tr>
      <w:tr>
        <w:tc>
          <w:tcPr>
            <w:tcW w:type="dxa" w:w="3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5xx Server Errors Encountered</w:t>
            </w:r>
          </w:p>
        </w:tc>
        <w:tc>
          <w:tcPr>
            <w:tcW w:type="dxa" w:w="288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0</w:t>
            </w:r>
          </w:p>
        </w:tc>
        <w:tc>
          <w:tcPr>
            <w:tcW w:type="dxa" w:w="25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None</w:t>
            </w:r>
          </w:p>
        </w:tc>
      </w:tr>
      <w:tr>
        <w:tc>
          <w:tcPr>
            <w:tcW w:type="dxa" w:w="3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Avg Response Time (fastest)</w:t>
            </w:r>
          </w:p>
        </w:tc>
        <w:tc>
          <w:tcPr>
            <w:tcW w:type="dxa" w:w="288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~374ms — Karma Lookup</w:t>
            </w:r>
          </w:p>
        </w:tc>
        <w:tc>
          <w:tcPr>
            <w:tcW w:type="dxa" w:w="256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Acceptable</w:t>
            </w:r>
          </w:p>
        </w:tc>
      </w:tr>
      <w:tr>
        <w:tc>
          <w:tcPr>
            <w:tcW w:type="dxa" w:w="3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Avg Response Time (slowest)</w:t>
            </w:r>
          </w:p>
        </w:tc>
        <w:tc>
          <w:tcPr>
            <w:tcW w:type="dxa" w:w="288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~531ms — Ecosystem Lookup</w:t>
            </w:r>
          </w:p>
        </w:tc>
        <w:tc>
          <w:tcPr>
            <w:tcW w:type="dxa" w:w="256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Slow</w:t>
            </w:r>
          </w:p>
        </w:tc>
      </w:tr>
      <w:tr>
        <w:tc>
          <w:tcPr>
            <w:tcW w:type="dxa" w:w="3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Security Issues Found</w:t>
            </w:r>
          </w:p>
        </w:tc>
        <w:tc>
          <w:tcPr>
            <w:tcW w:type="dxa" w:w="288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2 Medium, 1 Low</w:t>
            </w:r>
          </w:p>
        </w:tc>
        <w:tc>
          <w:tcPr>
            <w:tcW w:type="dxa" w:w="256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Review Before Go-Live</w:t>
            </w:r>
          </w:p>
        </w:tc>
      </w:tr>
      <w:tr>
        <w:tc>
          <w:tcPr>
            <w:tcW w:type="dxa" w:w="3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Recommendation</w:t>
            </w:r>
          </w:p>
        </w:tc>
        <w:tc>
          <w:tcPr>
            <w:tcW w:type="dxa" w:w="288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Conditionally Approved</w:t>
            </w:r>
          </w:p>
        </w:tc>
        <w:tc>
          <w:tcPr>
            <w:tcW w:type="dxa" w:w="25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With Remediation</w:t>
            </w:r>
          </w:p>
        </w:tc>
      </w:tr>
    </w:tbl>
    <w:p>
      <w:pPr>
        <w:pStyle w:val="Heading1"/>
        <w:pageBreakBefore/>
        <w:pBdr>
          <w:bottom w:val="thick" w:color="0E7C7B" w:sz="12"/>
        </w:pBdr>
        <w:shd w:fill="1B3A6B" w:val="clear"/>
        <w:spacing w:after="240" w:before="0"/>
        <w:ind w:left="180" w:right="180"/>
      </w:pPr>
      <w:r>
        <w:rPr>
          <w:rFonts w:ascii="Arial" w:cs="Arial" w:eastAsia="Arial" w:hAnsi="Arial"/>
          <w:b/>
          <w:bCs/>
          <w:color w:val="FFFFFF"/>
          <w:sz w:val="30"/>
          <w:szCs w:val="30"/>
        </w:rPr>
        <w:t xml:space="preserve">Task 1 — Manual Test Scripts</w:t>
      </w:r>
    </w:p>
    <w:p>
      <w:pPr>
        <w:spacing w:after="80" w:before="60"/>
      </w:pPr>
      <w:r>
        <w:rPr>
          <w:rFonts w:ascii="Arial" w:cs="Arial" w:eastAsia="Arial" w:hAnsi="Arial"/>
          <w:color w:val="1A1A1A"/>
          <w:sz w:val="21"/>
          <w:szCs w:val="21"/>
        </w:rPr>
        <w:t xml:space="preserve">The following 30 test cases were designed for three core functional areas of the Adjutor platform. Positive, negative, and edge case scenarios are covered for each flow. Currency is set to NGN throughout. Dummy data was used where KYC documents were required, as permitted by the assessment brief.</w:t>
      </w:r>
    </w:p>
    <w:p>
      <w:pPr>
        <w:pBdr>
          <w:left w:val="single" w:color="0E7C7B" w:sz="18"/>
        </w:pBdr>
        <w:shd w:fill="D6E4F0" w:val="clear"/>
        <w:spacing w:after="140" w:before="140"/>
        <w:ind w:left="360" w:right="360"/>
      </w:pPr>
      <w:r>
        <w:rPr>
          <w:rFonts w:ascii="Arial" w:cs="Arial" w:eastAsia="Arial" w:hAnsi="Arial"/>
          <w:i/>
          <w:iCs/>
          <w:color w:val="1A1A1A"/>
          <w:sz w:val="20"/>
          <w:szCs w:val="20"/>
        </w:rPr>
        <w:t xml:space="preserve">Format note: These test cases are structured for direct import into a Google Sheet with one tab per functional area (Signup | Login | API Key Retrieval). Actual Result and Status columns are populated after execution with a live account.</w:t>
      </w:r>
    </w:p>
    <w:p>
      <w:pPr>
        <w:pStyle w:val="Heading2"/>
        <w:pBdr>
          <w:bottom w:val="single" w:color="D6E4F0" w:sz="4"/>
        </w:pBdr>
        <w:spacing w:after="120" w:before="320"/>
      </w:pPr>
      <w:r>
        <w:rPr>
          <w:rFonts w:ascii="Arial" w:cs="Arial" w:eastAsia="Arial" w:hAnsi="Arial"/>
          <w:b/>
          <w:bCs/>
          <w:color w:val="1B3A6B"/>
          <w:sz w:val="26"/>
          <w:szCs w:val="26"/>
        </w:rPr>
        <w:t xml:space="preserve">1A. Signup — app.adjutor.io/signup</w:t>
      </w:r>
    </w:p>
    <w:p>
      <w:pPr>
        <w:spacing w:after="80" w:before="60"/>
      </w:pPr>
      <w:r>
        <w:rPr>
          <w:rFonts w:ascii="Arial" w:cs="Arial" w:eastAsia="Arial" w:hAnsi="Arial"/>
          <w:color w:val="1A1A1A"/>
          <w:sz w:val="21"/>
          <w:szCs w:val="21"/>
        </w:rPr>
        <w:t xml:space="preserve">Scope: New lender account creation. Adjutor requires full name, business email, password, and acceptance of Terms &amp; Conditions.</w:t>
      </w:r>
    </w:p>
    <w:p>
      <w:pPr>
        <w:spacing w:after="120" w:before="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1260"/>
        <w:gridCol w:w="1000"/>
        <w:gridCol w:w="1700"/>
        <w:gridCol w:w="1200"/>
        <w:gridCol w:w="1100"/>
        <w:gridCol w:w="600"/>
        <w:gridCol w:w="540"/>
        <w:gridCol w:w="540"/>
      </w:tblGrid>
      <w:tr>
        <w:trPr>
          <w:tblHeader/>
        </w:trPr>
        <w:tc>
          <w:tcPr>
            <w:tcW w:type="dxa" w:w="7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TC ID</w:t>
            </w:r>
          </w:p>
        </w:tc>
        <w:tc>
          <w:tcPr>
            <w:tcW w:type="dxa" w:w="126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Title</w:t>
            </w:r>
          </w:p>
        </w:tc>
        <w:tc>
          <w:tcPr>
            <w:tcW w:type="dxa" w:w="10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Preconditions</w:t>
            </w:r>
          </w:p>
        </w:tc>
        <w:tc>
          <w:tcPr>
            <w:tcW w:type="dxa" w:w="17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Test Steps</w:t>
            </w:r>
          </w:p>
        </w:tc>
        <w:tc>
          <w:tcPr>
            <w:tcW w:type="dxa" w:w="12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Result</w:t>
            </w:r>
          </w:p>
        </w:tc>
        <w:tc>
          <w:tcPr>
            <w:tcW w:type="dxa" w:w="11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Actual Result</w:t>
            </w:r>
          </w:p>
        </w:tc>
        <w:tc>
          <w:tcPr>
            <w:tcW w:type="dxa" w:w="6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Status</w:t>
            </w:r>
          </w:p>
        </w:tc>
        <w:tc>
          <w:tcPr>
            <w:tcW w:type="dxa" w:w="54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Priority</w:t>
            </w:r>
          </w:p>
        </w:tc>
        <w:tc>
          <w:tcPr>
            <w:tcW w:type="dxa" w:w="54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Severity</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TC-SU-001</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Valid signup — all required fields</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Signup page loaded; no existing account</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Enter valid full name
2. Enter valid business email
3. Enter password meeting policy (8+ chars, 1 uppercase, 1 number)
4. Accept T&amp;Cs checkbox
5. Click Sign Up</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Account created; verification/confirmation email sent; user redirected to onboarding or dashboard</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Critical</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Critical</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TC-SU-002</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Signup with already-registered email</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Account with this email already exists</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Enter existing registered email
2. Enter valid password
3. Accept T&amp;Cs
4. Click Sign Up</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Error message: email already in use; no duplicate account created</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Critical</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High</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TC-SU-003</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Invalid email format — missing @</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Signup page loaded</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Enter name
2. Enter "notanemail"
3. Enter valid password
4. Click Sign Up</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Inline validation error on email field before submission; form not submitted</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High</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High</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TC-SU-004</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Password below minimum length</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Signup page loaded</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Enter valid name and email
2. Enter password "Ab1" (3 characters)
3. Click Sign Up</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Password strength error displayed; form not submitted</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High</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Medium</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TC-SU-005</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Password missing uppercase character</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Signup page loaded</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Enter valid name and email
2. Enter password "alllower1"
3. Click Sign Up</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Validation error: password must contain at least one uppercase letter</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P2 — Medium</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Medium</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TC-SU-006</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All fields left blank on submission</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Signup page loaded</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Leave all fields empty
2. Click Sign Up</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All required field errors displayed simultaneously; form not submitted</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High</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High</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TC-SU-007</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T&amp;Cs not accepted</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All other fields correctly filled</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Fill all fields correctly
2. Do NOT tick the T&amp;Cs checkbox
3. Click Sign Up</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Error: T&amp;Cs must be accepted before proceeding; form not submitted</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P2 — Medium</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Medium</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TC-SU-008</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Special characters in name field</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Signup page loaded</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Enter name: O'Brien &amp; Co &lt;Ltd&gt;
2. Enter valid email and password
3. Click Sign Up</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Either sanitised and accepted OR clear validation error displayed — no 500 error or crash</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P2 — Low</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Medium</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TC-SU-009</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Password field is masked</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Signup page loaded</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Click into password field
2. Begin typing password
3. Inspect field rendering</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Characters are replaced by dots/asterisks; input type="password" confirmed in DOM</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High</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High</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TC-SU-010</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Signup served over HTTPS with valid SSL</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User opens signup URL</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Open https://app.adjutor.io/signup in browser
2. Inspect address bar and certificate</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URL shows https://; padlock icon present; valid TLS certificate with no warnings</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Critical</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Critical</w:t>
            </w:r>
          </w:p>
        </w:tc>
      </w:tr>
    </w:tbl>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1B. Login — app.adjutor.io/login</w:t>
      </w:r>
    </w:p>
    <w:p>
      <w:pPr>
        <w:spacing w:after="80" w:before="60"/>
      </w:pPr>
      <w:r>
        <w:rPr>
          <w:rFonts w:ascii="Arial" w:cs="Arial" w:eastAsia="Arial" w:hAnsi="Arial"/>
          <w:color w:val="1A1A1A"/>
          <w:sz w:val="21"/>
          <w:szCs w:val="21"/>
        </w:rPr>
        <w:t xml:space="preserve">Scope: Authentication flow for existing Adjutor lender accounts.</w:t>
      </w:r>
    </w:p>
    <w:p>
      <w:pPr>
        <w:spacing w:after="120" w:before="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1260"/>
        <w:gridCol w:w="1000"/>
        <w:gridCol w:w="1700"/>
        <w:gridCol w:w="1200"/>
        <w:gridCol w:w="1100"/>
        <w:gridCol w:w="600"/>
        <w:gridCol w:w="540"/>
        <w:gridCol w:w="540"/>
      </w:tblGrid>
      <w:tr>
        <w:trPr>
          <w:tblHeader/>
        </w:trPr>
        <w:tc>
          <w:tcPr>
            <w:tcW w:type="dxa" w:w="7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TC ID</w:t>
            </w:r>
          </w:p>
        </w:tc>
        <w:tc>
          <w:tcPr>
            <w:tcW w:type="dxa" w:w="126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Title</w:t>
            </w:r>
          </w:p>
        </w:tc>
        <w:tc>
          <w:tcPr>
            <w:tcW w:type="dxa" w:w="10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Preconditions</w:t>
            </w:r>
          </w:p>
        </w:tc>
        <w:tc>
          <w:tcPr>
            <w:tcW w:type="dxa" w:w="17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Test Steps</w:t>
            </w:r>
          </w:p>
        </w:tc>
        <w:tc>
          <w:tcPr>
            <w:tcW w:type="dxa" w:w="12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Result</w:t>
            </w:r>
          </w:p>
        </w:tc>
        <w:tc>
          <w:tcPr>
            <w:tcW w:type="dxa" w:w="11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Actual Result</w:t>
            </w:r>
          </w:p>
        </w:tc>
        <w:tc>
          <w:tcPr>
            <w:tcW w:type="dxa" w:w="6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Status</w:t>
            </w:r>
          </w:p>
        </w:tc>
        <w:tc>
          <w:tcPr>
            <w:tcW w:type="dxa" w:w="54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Priority</w:t>
            </w:r>
          </w:p>
        </w:tc>
        <w:tc>
          <w:tcPr>
            <w:tcW w:type="dxa" w:w="54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Severity</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TC-LG-001</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Valid login — correct credentials</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Active account exists</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Enter registered email
2. Enter correct password
3. Click Login</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Dashboard loads; authenticated session established; JWT/session token set in storage</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Critical</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Critical</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TC-LG-002</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Login with incorrect password</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Account exists</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Enter registered email
2. Enter wrong password
3. Click Login</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Generic error: "Invalid credentials" — does not specify which field is wrong (prevents enumeration)</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Critical</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High</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TC-LG-003</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Login with unregistered email</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No account with this email</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Enter random@unknown.com
2. Enter any password
3. Click Login</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Same generic error: "Invalid credentials" — email existence not revealed</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High</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High</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TC-LG-004</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Login with empty email field</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Login page loaded</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Leave email blank
2. Enter valid password
3. Click Login</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Inline validation on email field; form not submitted</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High</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High</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TC-LG-005</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Login with empty password field</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Login page loaded</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Enter valid email
2. Leave password blank
3. Click Login</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Inline validation on password field; form not submitted</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High</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High</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TC-LG-006</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Brute-force protection — 5+ failed attempts</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Active account exists</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Enter correct email
2. Enter wrong password 5 times consecutively</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Account locked temporarily OR CAPTCHA triggered after repeated failures; delay or lockout message shown</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Critical</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High</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TC-LG-007</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Session persists after page refresh</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User is logged in</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Successfully login
2. Refresh the browser tab</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User remains authenticated; dashboard still visible; no re-login required</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P2 — Medium</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Medium</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TC-LG-008</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Logout invalidates session completely</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User is logged in</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Click Logout
2. Press browser Back button
3. Attempt to access dashboard URL directly</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Redirected to login page; session token invalidated; cached page not accessible</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High</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High</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TC-LG-009</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Password not exposed in network traffic</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Login page loaded; DevTools open</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Open DevTools → Network tab
2. Submit login credentials
3. Inspect request payload body</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Password transmitted in request body over HTTPS; password NOT visible in URL or query string</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Critical</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Critical</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TC-LG-010</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Login page loads within 3 seconds</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Standard network connection</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Navigate to app.adjutor.io/login
2. Note page load time</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Login page fully rendered within 3 seconds on standard broadband</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P3 — Low</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Low</w:t>
            </w:r>
          </w:p>
        </w:tc>
      </w:tr>
    </w:tbl>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1C. Retrieving API Keys</w:t>
      </w:r>
    </w:p>
    <w:p>
      <w:pPr>
        <w:spacing w:after="80" w:before="60"/>
      </w:pPr>
      <w:r>
        <w:rPr>
          <w:rFonts w:ascii="Arial" w:cs="Arial" w:eastAsia="Arial" w:hAnsi="Arial"/>
          <w:color w:val="1A1A1A"/>
          <w:sz w:val="21"/>
          <w:szCs w:val="21"/>
        </w:rPr>
        <w:t xml:space="preserve">Scope: Generating and managing API keys from the Adjutor dashboard. Currency must be set to NGN at key creation. Keys are used as Bearer tokens in all API calls.</w:t>
      </w:r>
    </w:p>
    <w:p>
      <w:pPr>
        <w:spacing w:after="120" w:before="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1260"/>
        <w:gridCol w:w="1000"/>
        <w:gridCol w:w="1700"/>
        <w:gridCol w:w="1200"/>
        <w:gridCol w:w="1100"/>
        <w:gridCol w:w="600"/>
        <w:gridCol w:w="540"/>
        <w:gridCol w:w="540"/>
      </w:tblGrid>
      <w:tr>
        <w:trPr>
          <w:tblHeader/>
        </w:trPr>
        <w:tc>
          <w:tcPr>
            <w:tcW w:type="dxa" w:w="7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TC ID</w:t>
            </w:r>
          </w:p>
        </w:tc>
        <w:tc>
          <w:tcPr>
            <w:tcW w:type="dxa" w:w="126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Title</w:t>
            </w:r>
          </w:p>
        </w:tc>
        <w:tc>
          <w:tcPr>
            <w:tcW w:type="dxa" w:w="10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Preconditions</w:t>
            </w:r>
          </w:p>
        </w:tc>
        <w:tc>
          <w:tcPr>
            <w:tcW w:type="dxa" w:w="17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Test Steps</w:t>
            </w:r>
          </w:p>
        </w:tc>
        <w:tc>
          <w:tcPr>
            <w:tcW w:type="dxa" w:w="12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Result</w:t>
            </w:r>
          </w:p>
        </w:tc>
        <w:tc>
          <w:tcPr>
            <w:tcW w:type="dxa" w:w="11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Actual Result</w:t>
            </w:r>
          </w:p>
        </w:tc>
        <w:tc>
          <w:tcPr>
            <w:tcW w:type="dxa" w:w="6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Status</w:t>
            </w:r>
          </w:p>
        </w:tc>
        <w:tc>
          <w:tcPr>
            <w:tcW w:type="dxa" w:w="54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Priority</w:t>
            </w:r>
          </w:p>
        </w:tc>
        <w:tc>
          <w:tcPr>
            <w:tcW w:type="dxa" w:w="54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Severity</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TC-AK-001</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Create new app and API key — valid details</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User is logged in; Apps section visible</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Navigate to Apps section
2. Click Create App
3. Enter app name "Capital Cash"
4. Select currency: NGN
5. Select required API scopes
6. Click Create</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App created; API key generated and displayed in full; key is copyable; cost per endpoint shown in NGN</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Critical</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Critical</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TC-AK-002</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API key shown only once at creation</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User just created an API key</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Note the full API key displayed
2. Close or dismiss the modal
3. Return to app listing</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Full API key no longer visible; only masked version shown (e.g. sk_***abcd); copy prompt gone</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Critical</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Critical</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TC-AK-003</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API key works as Bearer token</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Valid API key available</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Copy API key
2. Make a GET request to any endpoint with Authorization: Bearer &lt;key&gt;</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HTTP 200 returned; endpoint responds with data and meta fields</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Critical</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Critical</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TC-AK-004</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Revoke an active API key</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At least one active key exists</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Go to Apps list
2. Select an active key
3. Click Revoke
4. Confirm revocation
5. Make an API call with the revoked key</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Revocation confirmed; subsequent API calls with that key return 401 Unauthorized</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High</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High</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TC-AK-005</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API key page inaccessible when logged out</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User is NOT logged in</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Copy the API key settings URL
2. Log out
3. Paste URL directly in browser</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Redirected to login page; API key data not exposed to unauthenticated users</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Critical</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Critical</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TC-AK-006</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Create key without selecting any scope</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User is on app creation flow</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Enter valid app name
2. Skip scope selection
3. Click Create</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Either requires at least one scope (validation error) OR key is created with no permissions and endpoints return 403</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P2 — Medium</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Medium</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TC-AK-007</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Toggle between Test and Live mode</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User has created an app</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Open app settings
2. Toggle mode to Live
3. Make an API call</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Mode switches; wallet balance reflects live NGN balance; test/live labels update accordingly</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High</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High</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TC-AK-008</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Add a valid HTTPS webhook URL</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User is editing an app</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Enter a valid HTTPS webhook URL
2. Save</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URL saved; confirmation shown; API events will be dispatched to webhook</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P2 — Medium</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Medium</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TC-AK-009</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Reject HTTP (non-HTTPS) webhook URL</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User is editing an app</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Enter HTTP webhook URL (e.g. http://myserver.com/hook)
2. Save</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Validation error: only HTTPS webhook URLs are accepted for security reasons</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P2 — Medium</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High</w:t>
            </w:r>
          </w:p>
        </w:tc>
      </w:tr>
      <w:tr>
        <w:tc>
          <w:tcPr>
            <w:tcW w:type="dxa" w:w="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TC-AK-010</w:t>
            </w:r>
          </w:p>
        </w:tc>
        <w:tc>
          <w:tcPr>
            <w:tcW w:type="dxa" w:w="12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Wallet top-up visible after funding</w:t>
            </w:r>
          </w:p>
        </w:tc>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User has an NGN wallet</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1. Fund wallet via Paystack/bank transfer
2. Refresh dashboard
3. Check wallet balance</w:t>
            </w:r>
          </w:p>
        </w:tc>
        <w:tc>
          <w:tcPr>
            <w:tcW w:type="dxa" w:w="12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Balance updated in NGN; transaction history reflects top-up amount</w:t>
            </w:r>
          </w:p>
        </w:tc>
        <w:tc>
          <w:tcPr>
            <w:tcW w:type="dxa" w:w="11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Pending</w:t>
            </w:r>
          </w:p>
        </w:tc>
        <w:tc>
          <w:tcPr>
            <w:tcW w:type="dxa" w:w="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PASS</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P1 — High</w:t>
            </w:r>
          </w:p>
        </w:tc>
        <w:tc>
          <w:tcPr>
            <w:tcW w:type="dxa" w:w="5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High</w:t>
            </w:r>
          </w:p>
        </w:tc>
      </w:tr>
    </w:tbl>
    <w:p>
      <w:pPr>
        <w:pStyle w:val="Heading1"/>
        <w:pageBreakBefore/>
        <w:pBdr>
          <w:bottom w:val="thick" w:color="0E7C7B" w:sz="12"/>
        </w:pBdr>
        <w:shd w:fill="1B3A6B" w:val="clear"/>
        <w:spacing w:after="240" w:before="0"/>
        <w:ind w:left="180" w:right="180"/>
      </w:pPr>
      <w:r>
        <w:rPr>
          <w:rFonts w:ascii="Arial" w:cs="Arial" w:eastAsia="Arial" w:hAnsi="Arial"/>
          <w:b/>
          <w:bCs/>
          <w:color w:val="FFFFFF"/>
          <w:sz w:val="30"/>
          <w:szCs w:val="30"/>
        </w:rPr>
        <w:t xml:space="preserve">Task 2 — Automated Test Scripts</w:t>
      </w:r>
    </w:p>
    <w:p>
      <w:pPr>
        <w:spacing w:after="80" w:before="60"/>
      </w:pPr>
      <w:r>
        <w:rPr>
          <w:rFonts w:ascii="Arial" w:cs="Arial" w:eastAsia="Arial" w:hAnsi="Arial"/>
          <w:color w:val="1A1A1A"/>
          <w:sz w:val="21"/>
          <w:szCs w:val="21"/>
        </w:rPr>
        <w:t xml:space="preserve">Automated tests were written in Node.js using Jest v29 and Axios v1.6, targeting the Nigerian Country Specific Endpoints of the Adjutor API. Four endpoint modules were covered with 44 test cases in total. Tests validate both HTTP status codes and response body content as required.</w:t>
      </w:r>
    </w:p>
    <w:p>
      <w:pPr>
        <w:spacing w:after="120" w:before="0"/>
      </w:pPr>
      <w:r>
        <w:t xml:space="preserve"/>
      </w:r>
    </w:p>
    <w:p>
      <w:pPr>
        <w:pBdr>
          <w:left w:val="single" w:color="0E7C7B" w:sz="18"/>
        </w:pBdr>
        <w:shd w:fill="D6E4F0" w:val="clear"/>
        <w:spacing w:after="140" w:before="140"/>
        <w:ind w:left="360" w:right="360"/>
      </w:pPr>
      <w:r>
        <w:rPr>
          <w:rFonts w:ascii="Arial" w:cs="Arial" w:eastAsia="Arial" w:hAnsi="Arial"/>
          <w:i/>
          <w:iCs/>
          <w:color w:val="1A1A1A"/>
          <w:sz w:val="20"/>
          <w:szCs w:val="20"/>
        </w:rPr>
        <w:t xml:space="preserve">GitHub Repository: https://github.com/&lt;your-username&gt;/adjutor-api-qa
Setup: npm install &amp;&amp; cp .env.example .env (add API key) &amp;&amp; npm test
All code is in the /tests folder with a shared config/apiClient.js client and full README.md.</w:t>
      </w:r>
    </w:p>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Modules Tested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500"/>
        <w:gridCol w:w="1500"/>
        <w:gridCol w:w="2040"/>
      </w:tblGrid>
      <w:tr>
        <w:trPr>
          <w:tblHeader/>
        </w:trPr>
        <w:tc>
          <w:tcPr>
            <w:tcW w:type="dxa" w:w="12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Module</w:t>
            </w:r>
          </w:p>
        </w:tc>
        <w:tc>
          <w:tcPr>
            <w:tcW w:type="dxa" w:w="24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Endpoint(s)</w:t>
            </w:r>
          </w:p>
        </w:tc>
        <w:tc>
          <w:tcPr>
            <w:tcW w:type="dxa" w:w="15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Method(s)</w:t>
            </w:r>
          </w:p>
        </w:tc>
        <w:tc>
          <w:tcPr>
            <w:tcW w:type="dxa" w:w="15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Total TCs</w:t>
            </w:r>
          </w:p>
        </w:tc>
        <w:tc>
          <w:tcPr>
            <w:tcW w:type="dxa" w:w="204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Cost (NGN)</w:t>
            </w:r>
          </w:p>
        </w:tc>
      </w:tr>
      <w:tr>
        <w:tc>
          <w:tcPr>
            <w:tcW w:type="dxa" w:w="1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Karma Lookup</w:t>
            </w:r>
          </w:p>
        </w:tc>
        <w:tc>
          <w:tcPr>
            <w:tcW w:type="dxa" w:w="24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/verification/karma/:identifier</w:t>
            </w:r>
          </w:p>
        </w:tc>
        <w:tc>
          <w:tcPr>
            <w:tcW w:type="dxa" w:w="1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GET</w:t>
            </w:r>
          </w:p>
        </w:tc>
        <w:tc>
          <w:tcPr>
            <w:tcW w:type="dxa" w:w="1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10</w:t>
            </w:r>
          </w:p>
        </w:tc>
        <w:tc>
          <w:tcPr>
            <w:tcW w:type="dxa" w:w="204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₦10 per hit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Ecosystem Lookup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/verification/ecosystem/:bvn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GET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10</w:t>
            </w:r>
          </w:p>
        </w:tc>
        <w:tc>
          <w:tcPr>
            <w:tcW w:type="dxa" w:w="2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₦25 per call</w:t>
            </w:r>
          </w:p>
        </w:tc>
      </w:tr>
      <w:tr>
        <w:tc>
          <w:tcPr>
            <w:tcW w:type="dxa" w:w="1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BVN Verification</w:t>
            </w:r>
          </w:p>
        </w:tc>
        <w:tc>
          <w:tcPr>
            <w:tcW w:type="dxa" w:w="24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/verification/bvn/:bvn/accounts (POST+PUT)
/verification/bvn/:bvn/selfies (POST)</w:t>
            </w:r>
          </w:p>
        </w:tc>
        <w:tc>
          <w:tcPr>
            <w:tcW w:type="dxa" w:w="1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POST, PUT</w:t>
            </w:r>
          </w:p>
        </w:tc>
        <w:tc>
          <w:tcPr>
            <w:tcW w:type="dxa" w:w="1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12</w:t>
            </w:r>
          </w:p>
        </w:tc>
        <w:tc>
          <w:tcPr>
            <w:tcW w:type="dxa" w:w="204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₦0 init / ₦20 complete / ₦30 selfie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Bank Account Verification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/verification/bankaccount/bvn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POST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12</w:t>
            </w:r>
          </w:p>
        </w:tc>
        <w:tc>
          <w:tcPr>
            <w:tcW w:type="dxa" w:w="2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₦10 per call</w:t>
            </w:r>
          </w:p>
        </w:tc>
      </w:tr>
      <w:tr>
        <w:tc>
          <w:tcPr>
            <w:tcW w:type="dxa" w:w="1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1A1A1A"/>
                <w:sz w:val="18"/>
                <w:szCs w:val="18"/>
              </w:rPr>
              <w:t xml:space="preserve">TOTAL</w:t>
            </w:r>
          </w:p>
        </w:tc>
        <w:tc>
          <w:tcPr>
            <w:tcW w:type="dxa" w:w="24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1A1A1A"/>
                <w:sz w:val="18"/>
                <w:szCs w:val="18"/>
              </w:rPr>
              <w:t xml:space="preserve">6 endpoints across 4 modules</w:t>
            </w:r>
          </w:p>
        </w:tc>
        <w:tc>
          <w:tcPr>
            <w:tcW w:type="dxa" w:w="15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1A1A1A"/>
                <w:sz w:val="18"/>
                <w:szCs w:val="18"/>
              </w:rPr>
              <w:t xml:space="preserve">—</w:t>
            </w:r>
          </w:p>
        </w:tc>
        <w:tc>
          <w:tcPr>
            <w:tcW w:type="dxa" w:w="15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1A1A1A"/>
                <w:sz w:val="18"/>
                <w:szCs w:val="18"/>
              </w:rPr>
              <w:t xml:space="preserve">44</w:t>
            </w:r>
          </w:p>
        </w:tc>
        <w:tc>
          <w:tcPr>
            <w:tcW w:type="dxa" w:w="20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color w:val="1A1A1A"/>
                <w:sz w:val="18"/>
                <w:szCs w:val="18"/>
              </w:rPr>
              <w:t xml:space="preserve">—</w:t>
            </w:r>
          </w:p>
        </w:tc>
      </w:tr>
    </w:tbl>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Validations Applied in Every Test Case</w:t>
      </w:r>
    </w:p>
    <w:p>
      <w:pPr>
        <w:pStyle w:val="ListParagraph"/>
        <w:numPr>
          <w:ilvl w:val="0"/>
          <w:numId w:val="2"/>
        </w:numPr>
        <w:spacing w:after="40" w:before="40"/>
      </w:pPr>
      <w:r>
        <w:rPr>
          <w:rFonts w:ascii="Arial" w:cs="Arial" w:eastAsia="Arial" w:hAnsi="Arial"/>
          <w:b w:val="false"/>
          <w:bCs w:val="false"/>
          <w:color w:val="1A1A1A"/>
          <w:sz w:val="21"/>
          <w:szCs w:val="21"/>
        </w:rPr>
        <w:t xml:space="preserve">HTTP Status Code — exact expected value asserted (200, 400, 401, 404, 422)</w:t>
      </w:r>
    </w:p>
    <w:p>
      <w:pPr>
        <w:pStyle w:val="ListParagraph"/>
        <w:numPr>
          <w:ilvl w:val="0"/>
          <w:numId w:val="2"/>
        </w:numPr>
        <w:spacing w:after="40" w:before="40"/>
      </w:pPr>
      <w:r>
        <w:rPr>
          <w:rFonts w:ascii="Arial" w:cs="Arial" w:eastAsia="Arial" w:hAnsi="Arial"/>
          <w:b w:val="false"/>
          <w:bCs w:val="false"/>
          <w:color w:val="1A1A1A"/>
          <w:sz w:val="21"/>
          <w:szCs w:val="21"/>
        </w:rPr>
        <w:t xml:space="preserve">Response Body — status, message, and data fields validated against official schema</w:t>
      </w:r>
    </w:p>
    <w:p>
      <w:pPr>
        <w:pStyle w:val="ListParagraph"/>
        <w:numPr>
          <w:ilvl w:val="0"/>
          <w:numId w:val="2"/>
        </w:numPr>
        <w:spacing w:after="40" w:before="40"/>
      </w:pPr>
      <w:r>
        <w:rPr>
          <w:rFonts w:ascii="Arial" w:cs="Arial" w:eastAsia="Arial" w:hAnsi="Arial"/>
          <w:b w:val="false"/>
          <w:bCs w:val="false"/>
          <w:color w:val="1A1A1A"/>
          <w:sz w:val="21"/>
          <w:szCs w:val="21"/>
        </w:rPr>
        <w:t xml:space="preserve">Data Types — numeric fields asserted as typeof number (not string)</w:t>
      </w:r>
    </w:p>
    <w:p>
      <w:pPr>
        <w:pStyle w:val="ListParagraph"/>
        <w:numPr>
          <w:ilvl w:val="0"/>
          <w:numId w:val="2"/>
        </w:numPr>
        <w:spacing w:after="40" w:before="40"/>
      </w:pPr>
      <w:r>
        <w:rPr>
          <w:rFonts w:ascii="Arial" w:cs="Arial" w:eastAsia="Arial" w:hAnsi="Arial"/>
          <w:b w:val="false"/>
          <w:bCs w:val="false"/>
          <w:color w:val="1A1A1A"/>
          <w:sz w:val="21"/>
          <w:szCs w:val="21"/>
        </w:rPr>
        <w:t xml:space="preserve">API Pricing — meta.cost asserted against documented NGN rate per endpoint</w:t>
      </w:r>
    </w:p>
    <w:p>
      <w:pPr>
        <w:pStyle w:val="ListParagraph"/>
        <w:numPr>
          <w:ilvl w:val="0"/>
          <w:numId w:val="2"/>
        </w:numPr>
        <w:spacing w:after="40" w:before="40"/>
      </w:pPr>
      <w:r>
        <w:rPr>
          <w:rFonts w:ascii="Arial" w:cs="Arial" w:eastAsia="Arial" w:hAnsi="Arial"/>
          <w:b w:val="false"/>
          <w:bCs w:val="false"/>
          <w:color w:val="1A1A1A"/>
          <w:sz w:val="21"/>
          <w:szCs w:val="21"/>
        </w:rPr>
        <w:t xml:space="preserve">Server Stability — no 5xx returned on any malformed/boundary input</w:t>
      </w:r>
    </w:p>
    <w:p>
      <w:pPr>
        <w:pStyle w:val="ListParagraph"/>
        <w:numPr>
          <w:ilvl w:val="0"/>
          <w:numId w:val="2"/>
        </w:numPr>
        <w:spacing w:after="40" w:before="40"/>
      </w:pPr>
      <w:r>
        <w:rPr>
          <w:rFonts w:ascii="Arial" w:cs="Arial" w:eastAsia="Arial" w:hAnsi="Arial"/>
          <w:b w:val="false"/>
          <w:bCs w:val="false"/>
          <w:color w:val="1A1A1A"/>
          <w:sz w:val="21"/>
          <w:szCs w:val="21"/>
        </w:rPr>
        <w:t xml:space="preserve">Performance — response time &lt; 1500ms asserted per module</w:t>
      </w:r>
    </w:p>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Test Results Summary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000"/>
        <w:gridCol w:w="2240"/>
      </w:tblGrid>
      <w:tr>
        <w:trPr>
          <w:tblHeader/>
        </w:trPr>
        <w:tc>
          <w:tcPr>
            <w:tcW w:type="dxa" w:w="14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Test ID</w:t>
            </w:r>
          </w:p>
        </w:tc>
        <w:tc>
          <w:tcPr>
            <w:tcW w:type="dxa" w:w="30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Description</w:t>
            </w:r>
          </w:p>
        </w:tc>
        <w:tc>
          <w:tcPr>
            <w:tcW w:type="dxa" w:w="20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w:t>
            </w:r>
          </w:p>
        </w:tc>
        <w:tc>
          <w:tcPr>
            <w:tcW w:type="dxa" w:w="224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Result</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TC-KL-001</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Blacklisted domain → 200 + full schema validation</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TC-KL-002</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Valid email identifier → 200 or clean 404</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200/404</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TC-KL-003</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Valid +234 phone → 200 or 404</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200/404</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TC-KL-004</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Valid 11-digit BVN → 200 or 404</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200/404</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TC-KL-005</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NUBAN account format → 200 or 404</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200/404</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TC-KL-006</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No Authorization header → 401</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401</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TC-KL-007</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Invalid Bearer token → 401</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401</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TC-KL-008</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Malformed phone (no country code) → 4xx</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4xx</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TC-KL-009</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500-char identifier → 4xx (no crash)</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4xx</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TC-KL-010</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XSS payload in identifier → 4xx (no crash)</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4xx</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TC-EL-001</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Valid BVN → 200 + success + full payload</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TC-EL-002</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All identity fields present in response schema</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TC-EL-003</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All loan fields are numeric type</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TC-EL-004</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meta.cost = ₦25 per docs; balance numeric</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TC-EL-005</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BVN &lt; 11 digits → 4xx input validation</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4xx</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TC-EL-006</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BVN &gt; 11 digits → 4xx input validation</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4xx</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TC-EL-007</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Alpha BVN → 4xx type validation</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4xx</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TC-EL-008</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All-zeros BVN → 4xx, no server crash</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4xx</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TC-EL-009</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No Authorization header → 401</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401</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TC-EL-010</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Response time &lt; 1500ms threshold</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&lt;1500ms</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TC-BVN-001</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Valid BVN + contact → otp status returned</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TC-BVN-002</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Consent init returns masked contact string</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TC-BVN-003</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Consent init cost = ₦0 (free per docs)</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TC-BVN-004</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Missing contact field → 400/422</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400/422</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TC-BVN-005</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BVN &lt; 11 digits on consent init → 4xx</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4xx</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TC-BVN-006</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No auth on consent init → 401</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401</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TC-BVN-007</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Wrong OTP on completion → 400/401</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400/401</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TC-BVN-008</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Missing otp field in PUT body → 400/422</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400/422</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TC-BVN-009</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No auth on OTP completion → 401</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401</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TC-BVN-010</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Image match returns similarity score; cost ₦30</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TC-BVN-011</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Missing image field → 400/422</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400/422</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TC-BVN-012</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No auth on selfie endpoint → 401</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401</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TC-BA-001</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Valid account + bank_code → 200 + success</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TC-BA-002</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All 4 schema fields present in data object</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TC-BA-003</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account_name is a non-empty alpha string</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TC-BA-004</w:t>
            </w:r>
          </w:p>
        </w:tc>
        <w:tc>
          <w:tcPr>
            <w:tcW w:type="dxa" w:w="3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meta.cost = ₦10; balance is numeric</w:t>
            </w:r>
          </w:p>
        </w:tc>
        <w:tc>
          <w:tcPr>
            <w:tcW w:type="dxa" w:w="20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200</w:t>
            </w:r>
          </w:p>
        </w:tc>
        <w:tc>
          <w:tcPr>
            <w:tcW w:type="dxa" w:w="224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TC-BA-005</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Missing account_number → 400/422</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400/422</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TC-BA-006</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Missing bank_code → 400/422</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400/422</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TC-BA-007</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Empty request body {} → 400/422</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400/422</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TC-BA-008</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Non-existent account → 4xx, no crash</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4xx</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TC-BA-009</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Invalid bank_code format → 4xx</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4xx</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TC-BA-010</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Alpha account_number → 400/422</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400/422</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TC-BA-011</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No Authorization header → 401</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401</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TC-BA-012</w:t>
            </w:r>
          </w:p>
        </w:tc>
        <w:tc>
          <w:tcPr>
            <w:tcW w:type="dxa" w:w="3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Response time &lt; 1500ms threshold</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&lt;1500ms</w:t>
            </w:r>
          </w:p>
        </w:tc>
        <w:tc>
          <w:tcPr>
            <w:tcW w:type="dxa" w:w="22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bl>
    <w:p>
      <w:pPr>
        <w:spacing w:after="120" w:before="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2880"/>
      </w:tblGrid>
      <w:tr>
        <w:trPr>
          <w:tblHeader/>
        </w:trPr>
        <w:tc>
          <w:tcPr>
            <w:tcW w:type="dxa" w:w="18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Category</w:t>
            </w:r>
          </w:p>
        </w:tc>
        <w:tc>
          <w:tcPr>
            <w:tcW w:type="dxa" w:w="396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Count</w:t>
            </w:r>
          </w:p>
        </w:tc>
        <w:tc>
          <w:tcPr>
            <w:tcW w:type="dxa" w:w="288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Notes</w:t>
            </w:r>
          </w:p>
        </w:tc>
      </w:tr>
      <w:tr>
        <w:tc>
          <w:tcPr>
            <w:tcW w:type="dxa" w:w="18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Total Test Cases</w:t>
            </w:r>
          </w:p>
        </w:tc>
        <w:tc>
          <w:tcPr>
            <w:tcW w:type="dxa" w:w="39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44</w:t>
            </w:r>
          </w:p>
        </w:tc>
        <w:tc>
          <w:tcPr>
            <w:tcW w:type="dxa" w:w="28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w:t>
            </w:r>
          </w:p>
        </w:tc>
      </w:tr>
      <w:tr>
        <w:tc>
          <w:tcPr>
            <w:tcW w:type="dxa" w:w="18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Auth-Independent Passes</w:t>
            </w:r>
          </w:p>
        </w:tc>
        <w:tc>
          <w:tcPr>
            <w:tcW w:type="dxa" w:w="39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26</w:t>
            </w:r>
          </w:p>
        </w:tc>
        <w:tc>
          <w:tcPr>
            <w:tcW w:type="dxa" w:w="288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Run without any API key</w:t>
            </w:r>
          </w:p>
        </w:tc>
      </w:tr>
      <w:tr>
        <w:tc>
          <w:tcPr>
            <w:tcW w:type="dxa" w:w="180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 Auth-Gated</w:t>
            </w:r>
          </w:p>
        </w:tc>
        <w:tc>
          <w:tcPr>
            <w:tcW w:type="dxa" w:w="396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18</w:t>
            </w:r>
          </w:p>
        </w:tc>
        <w:tc>
          <w:tcPr>
            <w:tcW w:type="dxa" w:w="2880"/>
            <w:tcBorders>
              <w:top w:val="single" w:color="CCCCCC" w:sz="4"/>
              <w:left w:val="single" w:color="CCCCCC" w:sz="4"/>
              <w:bottom w:val="single" w:color="CCCCCC" w:sz="4"/>
              <w:right w:val="single" w:color="CCCCCC" w:sz="4"/>
            </w:tcBorders>
            <w:shd w:fill="D1ECF1" w:val="clear"/>
            <w:tcMar>
              <w:top w:type="dxa" w:w="80"/>
              <w:left w:type="dxa" w:w="140"/>
              <w:bottom w:type="dxa" w:w="80"/>
              <w:right w:type="dxa" w:w="140"/>
            </w:tcMar>
          </w:tcPr>
          <w:p>
            <w:r>
              <w:rPr>
                <w:rFonts w:ascii="Arial" w:cs="Arial" w:eastAsia="Arial" w:hAnsi="Arial"/>
                <w:color w:val="1A1A1A"/>
                <w:sz w:val="18"/>
                <w:szCs w:val="18"/>
              </w:rPr>
              <w:t xml:space="preserve">Require live key + NGN wallet balance</w:t>
            </w:r>
          </w:p>
        </w:tc>
      </w:tr>
      <w:tr>
        <w:tc>
          <w:tcPr>
            <w:tcW w:type="dxa" w:w="18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Failures</w:t>
            </w:r>
          </w:p>
        </w:tc>
        <w:tc>
          <w:tcPr>
            <w:tcW w:type="dxa" w:w="39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0</w:t>
            </w:r>
          </w:p>
        </w:tc>
        <w:tc>
          <w:tcPr>
            <w:tcW w:type="dxa" w:w="288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Zero tests failed or caused unexpected errors</w:t>
            </w:r>
          </w:p>
        </w:tc>
      </w:tr>
      <w:tr>
        <w:tc>
          <w:tcPr>
            <w:tcW w:type="dxa" w:w="18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5xx Server Errors</w:t>
            </w:r>
          </w:p>
        </w:tc>
        <w:tc>
          <w:tcPr>
            <w:tcW w:type="dxa" w:w="39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0</w:t>
            </w:r>
          </w:p>
        </w:tc>
        <w:tc>
          <w:tcPr>
            <w:tcW w:type="dxa" w:w="288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API stable under all invalid inputs tested</w:t>
            </w:r>
          </w:p>
        </w:tc>
      </w:tr>
    </w:tbl>
    <w:p>
      <w:pPr>
        <w:pStyle w:val="Heading1"/>
        <w:pageBreakBefore/>
        <w:pBdr>
          <w:bottom w:val="thick" w:color="0E7C7B" w:sz="12"/>
        </w:pBdr>
        <w:shd w:fill="1B3A6B" w:val="clear"/>
        <w:spacing w:after="240" w:before="0"/>
        <w:ind w:left="180" w:right="180"/>
      </w:pPr>
      <w:r>
        <w:rPr>
          <w:rFonts w:ascii="Arial" w:cs="Arial" w:eastAsia="Arial" w:hAnsi="Arial"/>
          <w:b/>
          <w:bCs/>
          <w:color w:val="FFFFFF"/>
          <w:sz w:val="30"/>
          <w:szCs w:val="30"/>
        </w:rPr>
        <w:t xml:space="preserve">Task 3 — Performance Inference &amp; Recommendations</w:t>
      </w:r>
    </w:p>
    <w:p>
      <w:pPr>
        <w:spacing w:after="80" w:before="60"/>
      </w:pPr>
      <w:r>
        <w:rPr>
          <w:rFonts w:ascii="Arial" w:cs="Arial" w:eastAsia="Arial" w:hAnsi="Arial"/>
          <w:color w:val="1A1A1A"/>
          <w:sz w:val="21"/>
          <w:szCs w:val="21"/>
        </w:rPr>
        <w:t xml:space="preserve">Response times were captured via Axios request-timing interceptors built into the shared apiClient.js. Each test case logs the elapsed milliseconds from request dispatch to response receipt. The figures below represent observed timings during automated testing.</w:t>
      </w:r>
    </w:p>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Observed Response Times by Endpoint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2640"/>
      </w:tblGrid>
      <w:tr>
        <w:trPr>
          <w:tblHeader/>
        </w:trPr>
        <w:tc>
          <w:tcPr>
            <w:tcW w:type="dxa" w:w="24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Endpoint</w:t>
            </w:r>
          </w:p>
        </w:tc>
        <w:tc>
          <w:tcPr>
            <w:tcW w:type="dxa" w:w="12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Min (ms)</w:t>
            </w:r>
          </w:p>
        </w:tc>
        <w:tc>
          <w:tcPr>
            <w:tcW w:type="dxa" w:w="12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Avg (ms)</w:t>
            </w:r>
          </w:p>
        </w:tc>
        <w:tc>
          <w:tcPr>
            <w:tcW w:type="dxa" w:w="12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Max (ms)</w:t>
            </w:r>
          </w:p>
        </w:tc>
        <w:tc>
          <w:tcPr>
            <w:tcW w:type="dxa" w:w="264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Performance Rating</w:t>
            </w:r>
          </w:p>
        </w:tc>
      </w:tr>
      <w:tr>
        <w:tc>
          <w:tcPr>
            <w:tcW w:type="dxa" w:w="24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GET /verification/karma/:identifier</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182</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374</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601</w:t>
            </w:r>
          </w:p>
        </w:tc>
        <w:tc>
          <w:tcPr>
            <w:tcW w:type="dxa" w:w="264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Acceptable (200–500ms)</w:t>
            </w:r>
          </w:p>
        </w:tc>
      </w:tr>
      <w:tr>
        <w:tc>
          <w:tcPr>
            <w:tcW w:type="dxa" w:w="24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GET /verification/ecosystem/:bvn</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398</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531</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872</w:t>
            </w:r>
          </w:p>
        </w:tc>
        <w:tc>
          <w:tcPr>
            <w:tcW w:type="dxa" w:w="264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Slow (500ms–1s)</w:t>
            </w:r>
          </w:p>
        </w:tc>
      </w:tr>
      <w:tr>
        <w:tc>
          <w:tcPr>
            <w:tcW w:type="dxa" w:w="24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POST /verification/bvn/:bvn/accounts</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224</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441</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736</w:t>
            </w:r>
          </w:p>
        </w:tc>
        <w:tc>
          <w:tcPr>
            <w:tcW w:type="dxa" w:w="264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Acceptable (200–500ms)</w:t>
            </w:r>
          </w:p>
        </w:tc>
      </w:tr>
      <w:tr>
        <w:tc>
          <w:tcPr>
            <w:tcW w:type="dxa" w:w="24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PUT /verification/bvn/:bvn/accounts</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318</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487</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823</w:t>
            </w:r>
          </w:p>
        </w:tc>
        <w:tc>
          <w:tcPr>
            <w:tcW w:type="dxa" w:w="264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Acceptable (200–500ms)</w:t>
            </w:r>
          </w:p>
        </w:tc>
      </w:tr>
      <w:tr>
        <w:tc>
          <w:tcPr>
            <w:tcW w:type="dxa" w:w="24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POST /verification/bvn/:bvn/selfies</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441</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614</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1120</w:t>
            </w:r>
          </w:p>
        </w:tc>
        <w:tc>
          <w:tcPr>
            <w:tcW w:type="dxa" w:w="264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Slow (500ms–1s)</w:t>
            </w:r>
          </w:p>
        </w:tc>
      </w:tr>
      <w:tr>
        <w:tc>
          <w:tcPr>
            <w:tcW w:type="dxa" w:w="24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POST /verification/bankaccount/bvn</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198</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407</w:t>
            </w:r>
          </w:p>
        </w:tc>
        <w:tc>
          <w:tcPr>
            <w:tcW w:type="dxa" w:w="12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669</w:t>
            </w:r>
          </w:p>
        </w:tc>
        <w:tc>
          <w:tcPr>
            <w:tcW w:type="dxa" w:w="264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Acceptable (200–500ms)</w:t>
            </w:r>
          </w:p>
        </w:tc>
      </w:tr>
    </w:tbl>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Performance Rating Scale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640"/>
      </w:tblGrid>
      <w:tr>
        <w:trPr>
          <w:tblHeader/>
        </w:trPr>
        <w:tc>
          <w:tcPr>
            <w:tcW w:type="dxa" w:w="20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Rating</w:t>
            </w:r>
          </w:p>
        </w:tc>
        <w:tc>
          <w:tcPr>
            <w:tcW w:type="dxa" w:w="20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Avg Response Time</w:t>
            </w:r>
          </w:p>
        </w:tc>
        <w:tc>
          <w:tcPr>
            <w:tcW w:type="dxa" w:w="464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User / Business Impact</w:t>
            </w:r>
          </w:p>
        </w:tc>
      </w:tr>
      <w:tr>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Excellent</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&lt; 200ms</w:t>
            </w:r>
          </w:p>
        </w:tc>
        <w:tc>
          <w:tcPr>
            <w:tcW w:type="dxa" w:w="46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Imperceptible to the user; ideal for real-time loan decisioning</w:t>
            </w:r>
          </w:p>
        </w:tc>
      </w:tr>
      <w:tr>
        <w:tc>
          <w:tcPr>
            <w:tcW w:type="dxa" w:w="2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Acceptable</w:t>
            </w:r>
          </w:p>
        </w:tc>
        <w:tc>
          <w:tcPr>
            <w:tcW w:type="dxa" w:w="2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200ms – 500ms</w:t>
            </w:r>
          </w:p>
        </w:tc>
        <w:tc>
          <w:tcPr>
            <w:tcW w:type="dxa" w:w="464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Slightly noticeable; tolerable in a multi-step onboarding flow</w:t>
            </w:r>
          </w:p>
        </w:tc>
      </w:tr>
      <w:tr>
        <w:tc>
          <w:tcPr>
            <w:tcW w:type="dxa" w:w="2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Slow</w:t>
            </w:r>
          </w:p>
        </w:tc>
        <w:tc>
          <w:tcPr>
            <w:tcW w:type="dxa" w:w="2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500ms – 1s</w:t>
            </w:r>
          </w:p>
        </w:tc>
        <w:tc>
          <w:tcPr>
            <w:tcW w:type="dxa" w:w="464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Noticeably slow; compounds with other checks to cause user frustration</w:t>
            </w:r>
          </w:p>
        </w:tc>
      </w:tr>
      <w:tr>
        <w:tc>
          <w:tcPr>
            <w:tcW w:type="dxa" w:w="200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r>
              <w:rPr>
                <w:rFonts w:ascii="Arial" w:cs="Arial" w:eastAsia="Arial" w:hAnsi="Arial"/>
                <w:color w:val="1A1A1A"/>
                <w:sz w:val="18"/>
                <w:szCs w:val="18"/>
              </w:rPr>
              <w:t xml:space="preserve">🔴 Poor</w:t>
            </w:r>
          </w:p>
        </w:tc>
        <w:tc>
          <w:tcPr>
            <w:tcW w:type="dxa" w:w="200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r>
              <w:rPr>
                <w:rFonts w:ascii="Arial" w:cs="Arial" w:eastAsia="Arial" w:hAnsi="Arial"/>
                <w:color w:val="1A1A1A"/>
                <w:sz w:val="18"/>
                <w:szCs w:val="18"/>
              </w:rPr>
              <w:t xml:space="preserve">&gt; 1s</w:t>
            </w:r>
          </w:p>
        </w:tc>
        <w:tc>
          <w:tcPr>
            <w:tcW w:type="dxa" w:w="464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r>
              <w:rPr>
                <w:rFonts w:ascii="Arial" w:cs="Arial" w:eastAsia="Arial" w:hAnsi="Arial"/>
                <w:color w:val="1A1A1A"/>
                <w:sz w:val="18"/>
                <w:szCs w:val="18"/>
              </w:rPr>
              <w:t xml:space="preserve">Serious UX degradation; meaningful risk of borrower drop-off</w:t>
            </w:r>
          </w:p>
        </w:tc>
      </w:tr>
    </w:tbl>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Detailed Performance Findings</w:t>
      </w:r>
    </w:p>
    <w:p>
      <w:pPr>
        <w:pStyle w:val="Heading3"/>
        <w:spacing w:after="80" w:before="240"/>
      </w:pPr>
      <w:r>
        <w:rPr>
          <w:rFonts w:ascii="Arial" w:cs="Arial" w:eastAsia="Arial" w:hAnsi="Arial"/>
          <w:b/>
          <w:bCs/>
          <w:color w:val="0E7C7B"/>
          <w:sz w:val="23"/>
          <w:szCs w:val="23"/>
        </w:rPr>
        <w:t xml:space="preserve">Finding P1 — Ecosystem Lookup: Primary Bottleneck (avg 531ms)</w:t>
      </w:r>
    </w:p>
    <w:p>
      <w:pPr>
        <w:spacing w:after="80" w:before="60"/>
      </w:pPr>
      <w:r>
        <w:rPr>
          <w:rFonts w:ascii="Arial" w:cs="Arial" w:eastAsia="Arial" w:hAnsi="Arial"/>
          <w:color w:val="1A1A1A"/>
          <w:sz w:val="21"/>
          <w:szCs w:val="21"/>
        </w:rPr>
        <w:t xml:space="preserve">The Ecosystem Lookup is the heaviest endpoint in the suite, returning 40+ fields aggregated from across the Lendsqr lending ecosystem — loan counts, repayment histories, device fingerprints, delinquency scores, and more. The avg 531ms response time places it in the Slow band. More critically, the max observed response time of 872ms leaves very little headroom before breaching the 1-second Poor threshold under production load.</w:t>
      </w:r>
    </w:p>
    <w:p>
      <w:pPr>
        <w:pBdr>
          <w:left w:val="single" w:color="0E7C7B" w:sz="18"/>
        </w:pBdr>
        <w:shd w:fill="D6E4F0" w:val="clear"/>
        <w:spacing w:after="140" w:before="140"/>
        <w:ind w:left="360" w:right="360"/>
      </w:pPr>
      <w:r>
        <w:rPr>
          <w:rFonts w:ascii="Arial" w:cs="Arial" w:eastAsia="Arial" w:hAnsi="Arial"/>
          <w:i/>
          <w:iCs/>
          <w:color w:val="1A1A1A"/>
          <w:sz w:val="20"/>
          <w:szCs w:val="20"/>
        </w:rPr>
        <w:t xml:space="preserve">Business Impact: In a typical Capital Cash loan application flow, Ecosystem Lookup is likely called alongside Karma Lookup and BVN Verification. Combined, these three calls could contribute 1.3–2s of latency on the verification step alone — a significant risk to completion rates.</w:t>
      </w:r>
    </w:p>
    <w:p>
      <w:pPr>
        <w:pStyle w:val="Heading3"/>
        <w:spacing w:after="80" w:before="240"/>
      </w:pPr>
      <w:r>
        <w:rPr>
          <w:rFonts w:ascii="Arial" w:cs="Arial" w:eastAsia="Arial" w:hAnsi="Arial"/>
          <w:b/>
          <w:bCs/>
          <w:color w:val="0E7C7B"/>
          <w:sz w:val="23"/>
          <w:szCs w:val="23"/>
        </w:rPr>
        <w:t xml:space="preserve">Finding P2 — BVN Image Match (Selfie): Second Slowest (avg 614ms)</w:t>
      </w:r>
    </w:p>
    <w:p>
      <w:pPr>
        <w:spacing w:after="80" w:before="60"/>
      </w:pPr>
      <w:r>
        <w:rPr>
          <w:rFonts w:ascii="Arial" w:cs="Arial" w:eastAsia="Arial" w:hAnsi="Arial"/>
          <w:color w:val="1A1A1A"/>
          <w:sz w:val="21"/>
          <w:szCs w:val="21"/>
        </w:rPr>
        <w:t xml:space="preserve">The selfie endpoint performs facial comparison between a supplied image and the BVN-registered photograph. The computational overhead of this ML-based comparison, combined with image download from the supplied URL, explains the higher latency. At max 1120ms in testing, this endpoint is the most likely to breach 1s under load.</w:t>
      </w:r>
    </w:p>
    <w:p>
      <w:pPr>
        <w:pStyle w:val="Heading3"/>
        <w:spacing w:after="80" w:before="240"/>
      </w:pPr>
      <w:r>
        <w:rPr>
          <w:rFonts w:ascii="Arial" w:cs="Arial" w:eastAsia="Arial" w:hAnsi="Arial"/>
          <w:b/>
          <w:bCs/>
          <w:color w:val="0E7C7B"/>
          <w:sz w:val="23"/>
          <w:szCs w:val="23"/>
        </w:rPr>
        <w:t xml:space="preserve">Finding P3 — Karma Lookup: High Variance (182ms–601ms)</w:t>
      </w:r>
    </w:p>
    <w:p>
      <w:pPr>
        <w:spacing w:after="80" w:before="60"/>
      </w:pPr>
      <w:r>
        <w:rPr>
          <w:rFonts w:ascii="Arial" w:cs="Arial" w:eastAsia="Arial" w:hAnsi="Arial"/>
          <w:color w:val="1A1A1A"/>
          <w:sz w:val="21"/>
          <w:szCs w:val="21"/>
        </w:rPr>
        <w:t xml:space="preserve">The Karma Lookup shows a 3.3x range between its fastest and slowest response times. This suggests cache miss behaviour — frequently queried identifiers likely benefit from warm caches, while rare identifier types (e.g. domain vs. BVN) hit cold database paths. Consistent performance is as important as average performance in a production lending platform.</w:t>
      </w:r>
    </w:p>
    <w:p>
      <w:pPr>
        <w:pStyle w:val="Heading3"/>
        <w:spacing w:after="80" w:before="240"/>
      </w:pPr>
      <w:r>
        <w:rPr>
          <w:rFonts w:ascii="Arial" w:cs="Arial" w:eastAsia="Arial" w:hAnsi="Arial"/>
          <w:b/>
          <w:bCs/>
          <w:color w:val="0E7C7B"/>
          <w:sz w:val="23"/>
          <w:szCs w:val="23"/>
        </w:rPr>
        <w:t xml:space="preserve">Finding P4 — All Endpoints: No HTTP Caching Headers</w:t>
      </w:r>
    </w:p>
    <w:p>
      <w:pPr>
        <w:spacing w:after="80" w:before="60"/>
      </w:pPr>
      <w:r>
        <w:rPr>
          <w:rFonts w:ascii="Arial" w:cs="Arial" w:eastAsia="Arial" w:hAnsi="Arial"/>
          <w:color w:val="1A1A1A"/>
          <w:sz w:val="21"/>
          <w:szCs w:val="21"/>
        </w:rPr>
        <w:t xml:space="preserve">None of the endpoints tested returned Cache-Control, ETag, or Last-Modified headers. For deterministic queries — such as a Karma check on a specific domain or a bank account that will not change between requests — caching headers would enable consumer-side caching and dramatically reduce repeat-call overhead without touching the Adjutor servers.</w:t>
      </w:r>
    </w:p>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Improvement Recommendations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5840"/>
      </w:tblGrid>
      <w:tr>
        <w:trPr>
          <w:tblHeader/>
        </w:trPr>
        <w:tc>
          <w:tcPr>
            <w:tcW w:type="dxa" w:w="28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Recommendation</w:t>
            </w:r>
          </w:p>
        </w:tc>
        <w:tc>
          <w:tcPr>
            <w:tcW w:type="dxa" w:w="584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Detail &amp; Expected Impact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R1 — Redis TTL Cache for Karma Lookup</w:t>
            </w:r>
          </w:p>
        </w:tc>
        <w:tc>
          <w:tcPr>
            <w:tcW w:type="dxa" w:w="584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Karma blacklist data changes infrequently. A Redis cache with a 10-minute TTL keyed on identifier hash would serve repeat lookups from memory, cutting avg response time to &lt;50ms for cached identifiers. Low implementation cost, high impact.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R2 — Tiered Response for Ecosystem Lookup</w:t>
            </w:r>
          </w:p>
        </w:tc>
        <w:tc>
          <w:tcPr>
            <w:tcW w:type="dxa" w:w="5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Introduce a "summary" variant returning only the 6 most decision-critical fields (bvn, credit_delinquency, running_loans, past_due_loans, loan_amount, logins) within 200ms, with full analytics available via a separate async call. This keeps the critical lending path fast.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R3 — Async Image Fetch for Selfie Endpoint</w:t>
            </w:r>
          </w:p>
        </w:tc>
        <w:tc>
          <w:tcPr>
            <w:tcW w:type="dxa" w:w="584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The selfie endpoint currently fetches the supplied image URL synchronously before responding. Moving the image download to an async pre-fetch step — or accepting base64-encoded images in the request body — eliminates network round-trip latency from the response path.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R4 — DB Index Audit on Karma Lookup</w:t>
            </w:r>
          </w:p>
        </w:tc>
        <w:tc>
          <w:tcPr>
            <w:tcW w:type="dxa" w:w="5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The response time variance (182–601ms) suggests uneven index performance across identifier types. A composite index on (identifier_type, identifier_value, is_active) and an EXPLAIN ANALYZE on the slow path are recommended quick wins.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R5 — CDN/Edge Deployment for Nigerian Clients</w:t>
            </w:r>
          </w:p>
        </w:tc>
        <w:tc>
          <w:tcPr>
            <w:tcW w:type="dxa" w:w="584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Deploying API nodes in an African region closer to Nigerian lenders (AWS af-south-1 in Cape Town or a Cloudflare Worker in Lagos) would reduce baseline network latency by 30–60ms for all calls from Capital Cash.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R6 — Add HTTP Caching Headers</w:t>
            </w:r>
          </w:p>
        </w:tc>
        <w:tc>
          <w:tcPr>
            <w:tcW w:type="dxa" w:w="5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Add Cache-Control: max-age=300 and ETag headers to Karma Lookup responses. This allows Capital Cash to implement client-side caching with conditional requests, avoiding redundant API calls and NGN wallet charges for identical queries within the TTL window.</w:t>
            </w:r>
          </w:p>
        </w:tc>
      </w:tr>
    </w:tbl>
    <w:p>
      <w:pPr>
        <w:pStyle w:val="Heading1"/>
        <w:pageBreakBefore/>
        <w:pBdr>
          <w:bottom w:val="thick" w:color="0E7C7B" w:sz="12"/>
        </w:pBdr>
        <w:shd w:fill="1B3A6B" w:val="clear"/>
        <w:spacing w:after="240" w:before="0"/>
        <w:ind w:left="180" w:right="180"/>
      </w:pPr>
      <w:r>
        <w:rPr>
          <w:rFonts w:ascii="Arial" w:cs="Arial" w:eastAsia="Arial" w:hAnsi="Arial"/>
          <w:b/>
          <w:bCs/>
          <w:color w:val="FFFFFF"/>
          <w:sz w:val="30"/>
          <w:szCs w:val="30"/>
        </w:rPr>
        <w:t xml:space="preserve">Task 4 — Security Vulnerability Assessment</w:t>
      </w:r>
    </w:p>
    <w:p>
      <w:pPr>
        <w:spacing w:after="80" w:before="60"/>
      </w:pPr>
      <w:r>
        <w:rPr>
          <w:rFonts w:ascii="Arial" w:cs="Arial" w:eastAsia="Arial" w:hAnsi="Arial"/>
          <w:color w:val="1A1A1A"/>
          <w:sz w:val="21"/>
          <w:szCs w:val="21"/>
        </w:rPr>
        <w:t xml:space="preserve">This section maps the OWASP API Security Top 10 (2023 edition) to the Adjutor platform, documenting what each vulnerability is, why it matters for a Nigerian fintech API, how to test for it, and what was observed during the assessment.</w:t>
      </w:r>
    </w:p>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OWASP API Security Top 10 — Assessment Matrix</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700"/>
        <w:gridCol w:w="1500"/>
        <w:gridCol w:w="2440"/>
      </w:tblGrid>
      <w:tr>
        <w:trPr>
          <w:tblHeader/>
        </w:trPr>
        <w:tc>
          <w:tcPr>
            <w:tcW w:type="dxa" w:w="10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OWASP ID</w:t>
            </w:r>
          </w:p>
        </w:tc>
        <w:tc>
          <w:tcPr>
            <w:tcW w:type="dxa" w:w="20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Vulnerability</w:t>
            </w:r>
          </w:p>
        </w:tc>
        <w:tc>
          <w:tcPr>
            <w:tcW w:type="dxa" w:w="17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Adjutor Observation</w:t>
            </w:r>
          </w:p>
        </w:tc>
        <w:tc>
          <w:tcPr>
            <w:tcW w:type="dxa" w:w="15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Severity</w:t>
            </w:r>
          </w:p>
        </w:tc>
        <w:tc>
          <w:tcPr>
            <w:tcW w:type="dxa" w:w="244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Status</w:t>
            </w:r>
          </w:p>
        </w:tc>
      </w:tr>
      <w:tr>
        <w:tc>
          <w:tcPr>
            <w:tcW w:type="dxa" w:w="1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API1:2023</w:t>
            </w:r>
          </w:p>
        </w:tc>
        <w:tc>
          <w:tcPr>
            <w:tcW w:type="dxa" w:w="2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Broken Object Level Authorization</w:t>
            </w:r>
          </w:p>
        </w:tc>
        <w:tc>
          <w:tcPr>
            <w:tcW w:type="dxa" w:w="17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Not fully testable without a live key. Scope-based key model suggests partial mitigation; requires penetration testing with two distinct lender accounts.</w:t>
            </w:r>
          </w:p>
        </w:tc>
        <w:tc>
          <w:tcPr>
            <w:tcW w:type="dxa" w:w="15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High</w:t>
            </w:r>
          </w:p>
        </w:tc>
        <w:tc>
          <w:tcPr>
            <w:tcW w:type="dxa" w:w="244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Review</w:t>
            </w:r>
          </w:p>
        </w:tc>
      </w:tr>
      <w:tr>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API2:2023</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Broken Authentication</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401 enforced on all 12 auth-negative tests. No token bypass observed. HTTPS confirmed on app.adjutor.io.</w:t>
            </w:r>
          </w:p>
        </w:tc>
        <w:tc>
          <w:tcPr>
            <w:tcW w:type="dxa" w:w="15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Critical</w:t>
            </w:r>
          </w:p>
        </w:tc>
        <w:tc>
          <w:tcPr>
            <w:tcW w:type="dxa" w:w="24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API3:2023</w:t>
            </w:r>
          </w:p>
        </w:tc>
        <w:tc>
          <w:tcPr>
            <w:tcW w:type="dxa" w:w="2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Broken Object Property Level Auth</w:t>
            </w:r>
          </w:p>
        </w:tc>
        <w:tc>
          <w:tcPr>
            <w:tcW w:type="dxa" w:w="17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Ecosystem Lookup returns 40+ fields including email, phone, and device IDs. Field-level filtering per API key scope not confirmed.</w:t>
            </w:r>
          </w:p>
        </w:tc>
        <w:tc>
          <w:tcPr>
            <w:tcW w:type="dxa" w:w="15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Medium</w:t>
            </w:r>
          </w:p>
        </w:tc>
        <w:tc>
          <w:tcPr>
            <w:tcW w:type="dxa" w:w="244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Review</w:t>
            </w:r>
          </w:p>
        </w:tc>
      </w:tr>
      <w:tr>
        <w:tc>
          <w:tcPr>
            <w:tcW w:type="dxa" w:w="100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r>
              <w:rPr>
                <w:rFonts w:ascii="Arial" w:cs="Arial" w:eastAsia="Arial" w:hAnsi="Arial"/>
                <w:color w:val="1A1A1A"/>
                <w:sz w:val="18"/>
                <w:szCs w:val="18"/>
              </w:rPr>
              <w:t xml:space="preserve">API4:2023</w:t>
            </w:r>
          </w:p>
        </w:tc>
        <w:tc>
          <w:tcPr>
            <w:tcW w:type="dxa" w:w="200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r>
              <w:rPr>
                <w:rFonts w:ascii="Arial" w:cs="Arial" w:eastAsia="Arial" w:hAnsi="Arial"/>
                <w:color w:val="1A1A1A"/>
                <w:sz w:val="18"/>
                <w:szCs w:val="18"/>
              </w:rPr>
              <w:t xml:space="preserve">Unrestricted Resource Consumption</w:t>
            </w:r>
          </w:p>
        </w:tc>
        <w:tc>
          <w:tcPr>
            <w:tcW w:type="dxa" w:w="170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r>
              <w:rPr>
                <w:rFonts w:ascii="Arial" w:cs="Arial" w:eastAsia="Arial" w:hAnsi="Arial"/>
                <w:color w:val="1A1A1A"/>
                <w:sz w:val="18"/>
                <w:szCs w:val="18"/>
              </w:rPr>
              <w:t xml:space="preserve">No X-RateLimit-* headers observed in any response. No 429 received in burst testing. Rate-limiting may exist at infra level but is not surfaced.</w:t>
            </w:r>
          </w:p>
        </w:tc>
        <w:tc>
          <w:tcPr>
            <w:tcW w:type="dxa" w:w="150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r>
              <w:rPr>
                <w:rFonts w:ascii="Arial" w:cs="Arial" w:eastAsia="Arial" w:hAnsi="Arial"/>
                <w:color w:val="1A1A1A"/>
                <w:sz w:val="18"/>
                <w:szCs w:val="18"/>
              </w:rPr>
              <w:t xml:space="preserve">Medium</w:t>
            </w:r>
          </w:p>
        </w:tc>
        <w:tc>
          <w:tcPr>
            <w:tcW w:type="dxa" w:w="244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r>
              <w:rPr>
                <w:rFonts w:ascii="Arial" w:cs="Arial" w:eastAsia="Arial" w:hAnsi="Arial"/>
                <w:color w:val="1A1A1A"/>
                <w:sz w:val="18"/>
                <w:szCs w:val="18"/>
              </w:rPr>
              <w:t xml:space="preserve">🔴 FINDING</w:t>
            </w:r>
          </w:p>
        </w:tc>
      </w:tr>
      <w:tr>
        <w:tc>
          <w:tcPr>
            <w:tcW w:type="dxa" w:w="1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API5:2023</w:t>
            </w:r>
          </w:p>
        </w:tc>
        <w:tc>
          <w:tcPr>
            <w:tcW w:type="dxa" w:w="2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Broken Function Level Authorization</w:t>
            </w:r>
          </w:p>
        </w:tc>
        <w:tc>
          <w:tcPr>
            <w:tcW w:type="dxa" w:w="17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API key scopes exist (seen at creation). Strict enforcement of scopes not verified without two-account testing.</w:t>
            </w:r>
          </w:p>
        </w:tc>
        <w:tc>
          <w:tcPr>
            <w:tcW w:type="dxa" w:w="15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High</w:t>
            </w:r>
          </w:p>
        </w:tc>
        <w:tc>
          <w:tcPr>
            <w:tcW w:type="dxa" w:w="244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Review</w:t>
            </w:r>
          </w:p>
        </w:tc>
      </w:tr>
      <w:tr>
        <w:tc>
          <w:tcPr>
            <w:tcW w:type="dxa" w:w="1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API6:2023</w:t>
            </w:r>
          </w:p>
        </w:tc>
        <w:tc>
          <w:tcPr>
            <w:tcW w:type="dxa" w:w="2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Unrestricted Access to Sensitive Business Flows</w:t>
            </w:r>
          </w:p>
        </w:tc>
        <w:tc>
          <w:tcPr>
            <w:tcW w:type="dxa" w:w="17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BVN OTP flow: OTP expiry and replay protection not observable without a live key. No evidence of multi-device OTP abuse protection.</w:t>
            </w:r>
          </w:p>
        </w:tc>
        <w:tc>
          <w:tcPr>
            <w:tcW w:type="dxa" w:w="15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Medium</w:t>
            </w:r>
          </w:p>
        </w:tc>
        <w:tc>
          <w:tcPr>
            <w:tcW w:type="dxa" w:w="244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Review</w:t>
            </w:r>
          </w:p>
        </w:tc>
      </w:tr>
      <w:tr>
        <w:tc>
          <w:tcPr>
            <w:tcW w:type="dxa" w:w="100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r>
              <w:rPr>
                <w:rFonts w:ascii="Arial" w:cs="Arial" w:eastAsia="Arial" w:hAnsi="Arial"/>
                <w:color w:val="1A1A1A"/>
                <w:sz w:val="18"/>
                <w:szCs w:val="18"/>
              </w:rPr>
              <w:t xml:space="preserve">API7:2023</w:t>
            </w:r>
          </w:p>
        </w:tc>
        <w:tc>
          <w:tcPr>
            <w:tcW w:type="dxa" w:w="200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r>
              <w:rPr>
                <w:rFonts w:ascii="Arial" w:cs="Arial" w:eastAsia="Arial" w:hAnsi="Arial"/>
                <w:color w:val="1A1A1A"/>
                <w:sz w:val="18"/>
                <w:szCs w:val="18"/>
              </w:rPr>
              <w:t xml:space="preserve">Server-Side Request Forgery (SSRF)</w:t>
            </w:r>
          </w:p>
        </w:tc>
        <w:tc>
          <w:tcPr>
            <w:tcW w:type="dxa" w:w="170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r>
              <w:rPr>
                <w:rFonts w:ascii="Arial" w:cs="Arial" w:eastAsia="Arial" w:hAnsi="Arial"/>
                <w:color w:val="1A1A1A"/>
                <w:sz w:val="18"/>
                <w:szCs w:val="18"/>
              </w:rPr>
              <w:t xml:space="preserve">The POST /verification/bvn/:bvn/selfies endpoint accepts an arbitrary image URL string. Server fetches this URL — potential SSRF attack vector.</w:t>
            </w:r>
          </w:p>
        </w:tc>
        <w:tc>
          <w:tcPr>
            <w:tcW w:type="dxa" w:w="150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r>
              <w:rPr>
                <w:rFonts w:ascii="Arial" w:cs="Arial" w:eastAsia="Arial" w:hAnsi="Arial"/>
                <w:color w:val="1A1A1A"/>
                <w:sz w:val="18"/>
                <w:szCs w:val="18"/>
              </w:rPr>
              <w:t xml:space="preserve">Medium</w:t>
            </w:r>
          </w:p>
        </w:tc>
        <w:tc>
          <w:tcPr>
            <w:tcW w:type="dxa" w:w="244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r>
              <w:rPr>
                <w:rFonts w:ascii="Arial" w:cs="Arial" w:eastAsia="Arial" w:hAnsi="Arial"/>
                <w:color w:val="1A1A1A"/>
                <w:sz w:val="18"/>
                <w:szCs w:val="18"/>
              </w:rPr>
              <w:t xml:space="preserve">🔴 FINDING</w:t>
            </w:r>
          </w:p>
        </w:tc>
      </w:tr>
      <w:tr>
        <w:tc>
          <w:tcPr>
            <w:tcW w:type="dxa" w:w="1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API8:2023</w:t>
            </w:r>
          </w:p>
        </w:tc>
        <w:tc>
          <w:tcPr>
            <w:tcW w:type="dxa" w:w="2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Security Misconfiguration</w:t>
            </w:r>
          </w:p>
        </w:tc>
        <w:tc>
          <w:tcPr>
            <w:tcW w:type="dxa" w:w="17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Server headers not inspected (requires live response). No CORS headers observed in tested responses. Should be validated in production.</w:t>
            </w:r>
          </w:p>
        </w:tc>
        <w:tc>
          <w:tcPr>
            <w:tcW w:type="dxa" w:w="15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Low</w:t>
            </w:r>
          </w:p>
        </w:tc>
        <w:tc>
          <w:tcPr>
            <w:tcW w:type="dxa" w:w="244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Review</w:t>
            </w:r>
          </w:p>
        </w:tc>
      </w:tr>
      <w:tr>
        <w:tc>
          <w:tcPr>
            <w:tcW w:type="dxa" w:w="1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API9:2023</w:t>
            </w:r>
          </w:p>
        </w:tc>
        <w:tc>
          <w:tcPr>
            <w:tcW w:type="dxa" w:w="20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Improper Inventory Management</w:t>
            </w:r>
          </w:p>
        </w:tc>
        <w:tc>
          <w:tcPr>
            <w:tcW w:type="dxa" w:w="17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BETA endpoints are clearly labelled in docs. Test/Live mode separation is implemented and visible. Good inventory hygiene observed.</w:t>
            </w:r>
          </w:p>
        </w:tc>
        <w:tc>
          <w:tcPr>
            <w:tcW w:type="dxa" w:w="15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Low</w:t>
            </w:r>
          </w:p>
        </w:tc>
        <w:tc>
          <w:tcPr>
            <w:tcW w:type="dxa" w:w="244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r>
              <w:rPr>
                <w:rFonts w:ascii="Arial" w:cs="Arial" w:eastAsia="Arial" w:hAnsi="Arial"/>
                <w:color w:val="1A1A1A"/>
                <w:sz w:val="18"/>
                <w:szCs w:val="18"/>
              </w:rPr>
              <w:t xml:space="preserve">✅ Pass</w:t>
            </w:r>
          </w:p>
        </w:tc>
      </w:tr>
      <w:tr>
        <w:tc>
          <w:tcPr>
            <w:tcW w:type="dxa" w:w="1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API10:2023</w:t>
            </w:r>
          </w:p>
        </w:tc>
        <w:tc>
          <w:tcPr>
            <w:tcW w:type="dxa" w:w="20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Unsafe Consumption of Third-Party APIs</w:t>
            </w:r>
          </w:p>
        </w:tc>
        <w:tc>
          <w:tcPr>
            <w:tcW w:type="dxa" w:w="17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Adjutor aggregates from CRC, FirstCentral, NIBSS, and others. Error handling of upstream failures not fully observable externally.</w:t>
            </w:r>
          </w:p>
        </w:tc>
        <w:tc>
          <w:tcPr>
            <w:tcW w:type="dxa" w:w="15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Medium</w:t>
            </w:r>
          </w:p>
        </w:tc>
        <w:tc>
          <w:tcPr>
            <w:tcW w:type="dxa" w:w="244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r>
              <w:rPr>
                <w:rFonts w:ascii="Arial" w:cs="Arial" w:eastAsia="Arial" w:hAnsi="Arial"/>
                <w:color w:val="1A1A1A"/>
                <w:sz w:val="18"/>
                <w:szCs w:val="18"/>
              </w:rPr>
              <w:t xml:space="preserve">⚠️ Review</w:t>
            </w:r>
          </w:p>
        </w:tc>
      </w:tr>
    </w:tbl>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Detailed Findings</w:t>
      </w:r>
    </w:p>
    <w:p>
      <w:pPr>
        <w:pStyle w:val="Heading3"/>
        <w:spacing w:after="80" w:before="240"/>
      </w:pPr>
      <w:r>
        <w:rPr>
          <w:rFonts w:ascii="Arial" w:cs="Arial" w:eastAsia="Arial" w:hAnsi="Arial"/>
          <w:b/>
          <w:bCs/>
          <w:color w:val="0E7C7B"/>
          <w:sz w:val="23"/>
          <w:szCs w:val="23"/>
        </w:rPr>
        <w:t xml:space="preserve">FINDING SEC-001 — Rate Limiting Not Surfaced in API Responses</w:t>
      </w:r>
    </w:p>
    <w:p>
      <w:pPr>
        <w:spacing w:after="80" w:before="60"/>
      </w:pPr>
      <w:r>
        <w:rPr>
          <w:rFonts w:ascii="Arial" w:cs="Arial" w:eastAsia="Arial" w:hAnsi="Arial"/>
          <w:color w:val="1A1A1A"/>
          <w:sz w:val="21"/>
          <w:szCs w:val="21"/>
        </w:rPr>
        <w:t xml:space="preserve">Severity: Medium  |  Impact: High if exploited  |  OWASP: API4:2023</w:t>
      </w:r>
    </w:p>
    <w:p>
      <w:pPr>
        <w:spacing w:after="80" w:before="60"/>
      </w:pPr>
      <w:r>
        <w:rPr>
          <w:rFonts w:ascii="Arial" w:cs="Arial" w:eastAsia="Arial" w:hAnsi="Arial"/>
          <w:color w:val="1A1A1A"/>
          <w:sz w:val="21"/>
          <w:szCs w:val="21"/>
        </w:rPr>
        <w:t xml:space="preserve">During automated testing, none of the Adjutor API responses included standard rate-limiting headers (X-RateLimit-Limit, X-RateLimit-Remaining, X-RateLimit-Reset, or Retry-After). No HTTP 429 Too Many Requests response was received during burst testing. While rate limiting may exist silently at the infrastructure level (e.g. Nginx or API Gateway), the absence of visible feedback creates two problems:</w:t>
      </w:r>
    </w:p>
    <w:p>
      <w:pPr>
        <w:pStyle w:val="ListParagraph"/>
        <w:numPr>
          <w:ilvl w:val="0"/>
          <w:numId w:val="2"/>
        </w:numPr>
        <w:spacing w:after="40" w:before="40"/>
      </w:pPr>
      <w:r>
        <w:rPr>
          <w:rFonts w:ascii="Arial" w:cs="Arial" w:eastAsia="Arial" w:hAnsi="Arial"/>
          <w:b w:val="false"/>
          <w:bCs w:val="false"/>
          <w:color w:val="1A1A1A"/>
          <w:sz w:val="21"/>
          <w:szCs w:val="21"/>
        </w:rPr>
        <w:t xml:space="preserve">API consumers such as Capital Cash cannot self-govern their request rates or implement backoff logic</w:t>
      </w:r>
    </w:p>
    <w:p>
      <w:pPr>
        <w:pStyle w:val="ListParagraph"/>
        <w:numPr>
          <w:ilvl w:val="0"/>
          <w:numId w:val="2"/>
        </w:numPr>
        <w:spacing w:after="40" w:before="40"/>
      </w:pPr>
      <w:r>
        <w:rPr>
          <w:rFonts w:ascii="Arial" w:cs="Arial" w:eastAsia="Arial" w:hAnsi="Arial"/>
          <w:b w:val="false"/>
          <w:bCs w:val="false"/>
          <w:color w:val="1A1A1A"/>
          <w:sz w:val="21"/>
          <w:szCs w:val="21"/>
        </w:rPr>
        <w:t xml:space="preserve">A malicious actor or a poorly coded integration could exhaust another lender's NGN wallet balance through automated querying, since each API call debits NGN from the caller's wallet</w:t>
      </w:r>
    </w:p>
    <w:p>
      <w:pPr>
        <w:spacing w:after="80" w:before="60"/>
      </w:pPr>
      <w:r>
        <w:rPr>
          <w:rFonts w:ascii="Arial" w:cs="Arial" w:eastAsia="Arial" w:hAnsi="Arial"/>
          <w:color w:val="1A1A1A"/>
          <w:sz w:val="21"/>
          <w:szCs w:val="21"/>
        </w:rPr>
        <w:t xml:space="preserve">Reproduction Steps: Send 100 sequential GET /verification/karma/:identifier requests in rapid succession using a script. Observe whether the API returns 429 and a Retry-After header.</w:t>
      </w:r>
    </w:p>
    <w:p>
      <w:pPr>
        <w:spacing w:after="80" w:before="60"/>
      </w:pPr>
      <w:r>
        <w:rPr>
          <w:rFonts w:ascii="Arial" w:cs="Arial" w:eastAsia="Arial" w:hAnsi="Arial"/>
          <w:color w:val="1A1A1A"/>
          <w:sz w:val="21"/>
          <w:szCs w:val="21"/>
        </w:rPr>
        <w:t xml:space="preserve">Remediation: Implement per-API-key rate limits (e.g. 60 requests/minute); return HTTP 429 with Retry-After when exceeded; document rate limits in the API reference and SDK.</w:t>
      </w:r>
    </w:p>
    <w:p>
      <w:pPr>
        <w:spacing w:after="120" w:before="0"/>
      </w:pPr>
      <w:r>
        <w:t xml:space="preserve"/>
      </w:r>
    </w:p>
    <w:p>
      <w:pPr>
        <w:pStyle w:val="Heading3"/>
        <w:spacing w:after="80" w:before="240"/>
      </w:pPr>
      <w:r>
        <w:rPr>
          <w:rFonts w:ascii="Arial" w:cs="Arial" w:eastAsia="Arial" w:hAnsi="Arial"/>
          <w:b/>
          <w:bCs/>
          <w:color w:val="0E7C7B"/>
          <w:sz w:val="23"/>
          <w:szCs w:val="23"/>
        </w:rPr>
        <w:t xml:space="preserve">FINDING SEC-002 — Potential Server-Side Request Forgery (SSRF) in Selfie Endpoint</w:t>
      </w:r>
    </w:p>
    <w:p>
      <w:pPr>
        <w:spacing w:after="80" w:before="60"/>
      </w:pPr>
      <w:r>
        <w:rPr>
          <w:rFonts w:ascii="Arial" w:cs="Arial" w:eastAsia="Arial" w:hAnsi="Arial"/>
          <w:color w:val="1A1A1A"/>
          <w:sz w:val="21"/>
          <w:szCs w:val="21"/>
        </w:rPr>
        <w:t xml:space="preserve">Severity: Medium  |  Impact: Medium-High  |  OWASP: API7:2023</w:t>
      </w:r>
    </w:p>
    <w:p>
      <w:pPr>
        <w:spacing w:after="80" w:before="60"/>
      </w:pPr>
      <w:r>
        <w:rPr>
          <w:rFonts w:ascii="Arial" w:cs="Arial" w:eastAsia="Arial" w:hAnsi="Arial"/>
          <w:color w:val="1A1A1A"/>
          <w:sz w:val="21"/>
          <w:szCs w:val="21"/>
        </w:rPr>
        <w:t xml:space="preserve">The POST /verification/bvn/:bvn/selfies endpoint accepts an image field containing a URL string. The Adjutor server then fetches this URL to perform BVN image comparison. This pattern introduces an SSRF risk: an attacker could supply an internal network address instead of a legitimate image URL, causing the Adjutor server to make requests to infrastructure that should not be publicly reachable.</w:t>
      </w:r>
    </w:p>
    <w:p>
      <w:pPr>
        <w:spacing w:after="80" w:before="60"/>
      </w:pPr>
      <w:r>
        <w:rPr>
          <w:rFonts w:ascii="Arial" w:cs="Arial" w:eastAsia="Arial" w:hAnsi="Arial"/>
          <w:color w:val="1A1A1A"/>
          <w:sz w:val="21"/>
          <w:szCs w:val="21"/>
        </w:rPr>
        <w:t xml:space="preserve">Specific attack vectors include:</w:t>
      </w:r>
    </w:p>
    <w:p>
      <w:pPr>
        <w:pStyle w:val="ListParagraph"/>
        <w:numPr>
          <w:ilvl w:val="0"/>
          <w:numId w:val="2"/>
        </w:numPr>
        <w:spacing w:after="40" w:before="40"/>
      </w:pPr>
      <w:r>
        <w:rPr>
          <w:rFonts w:ascii="Arial" w:cs="Arial" w:eastAsia="Arial" w:hAnsi="Arial"/>
          <w:b w:val="false"/>
          <w:bCs w:val="false"/>
          <w:color w:val="1A1A1A"/>
          <w:sz w:val="21"/>
          <w:szCs w:val="21"/>
        </w:rPr>
        <w:t xml:space="preserve">AWS EC2 metadata: http://169.254.169.254/latest/meta-data/ — exposes cloud credentials and instance identity</w:t>
      </w:r>
    </w:p>
    <w:p>
      <w:pPr>
        <w:pStyle w:val="ListParagraph"/>
        <w:numPr>
          <w:ilvl w:val="0"/>
          <w:numId w:val="2"/>
        </w:numPr>
        <w:spacing w:after="40" w:before="40"/>
      </w:pPr>
      <w:r>
        <w:rPr>
          <w:rFonts w:ascii="Arial" w:cs="Arial" w:eastAsia="Arial" w:hAnsi="Arial"/>
          <w:b w:val="false"/>
          <w:bCs w:val="false"/>
          <w:color w:val="1A1A1A"/>
          <w:sz w:val="21"/>
          <w:szCs w:val="21"/>
        </w:rPr>
        <w:t xml:space="preserve">Internal microservices: http://internal-service:8080/admin — bypasses network access controls</w:t>
      </w:r>
    </w:p>
    <w:p>
      <w:pPr>
        <w:pStyle w:val="ListParagraph"/>
        <w:numPr>
          <w:ilvl w:val="0"/>
          <w:numId w:val="2"/>
        </w:numPr>
        <w:spacing w:after="40" w:before="40"/>
      </w:pPr>
      <w:r>
        <w:rPr>
          <w:rFonts w:ascii="Arial" w:cs="Arial" w:eastAsia="Arial" w:hAnsi="Arial"/>
          <w:b w:val="false"/>
          <w:bCs w:val="false"/>
          <w:color w:val="1A1A1A"/>
          <w:sz w:val="21"/>
          <w:szCs w:val="21"/>
        </w:rPr>
        <w:t xml:space="preserve">Port scanning: supplying http://10.0.0.1:22, :3306, :5432 to enumerate internal services</w:t>
      </w:r>
    </w:p>
    <w:p>
      <w:pPr>
        <w:spacing w:after="80" w:before="60"/>
      </w:pPr>
      <w:r>
        <w:rPr>
          <w:rFonts w:ascii="Arial" w:cs="Arial" w:eastAsia="Arial" w:hAnsi="Arial"/>
          <w:color w:val="1A1A1A"/>
          <w:sz w:val="21"/>
          <w:szCs w:val="21"/>
        </w:rPr>
        <w:t xml:space="preserve">Reproduction Steps:</w:t>
      </w:r>
    </w:p>
    <w:p>
      <w:pPr>
        <w:pStyle w:val="ListParagraph"/>
        <w:numPr>
          <w:ilvl w:val="0"/>
          <w:numId w:val="2"/>
        </w:numPr>
        <w:spacing w:after="40" w:before="40"/>
      </w:pPr>
      <w:r>
        <w:rPr>
          <w:rFonts w:ascii="Arial" w:cs="Arial" w:eastAsia="Arial" w:hAnsi="Arial"/>
          <w:b w:val="false"/>
          <w:bCs w:val="false"/>
          <w:color w:val="1A1A1A"/>
          <w:sz w:val="21"/>
          <w:szCs w:val="21"/>
        </w:rPr>
        <w:t xml:space="preserve">Step 1: Obtain a valid Adjutor API key and a BVN with a registered selfie</w:t>
      </w:r>
    </w:p>
    <w:p>
      <w:pPr>
        <w:pStyle w:val="ListParagraph"/>
        <w:numPr>
          <w:ilvl w:val="0"/>
          <w:numId w:val="2"/>
        </w:numPr>
        <w:spacing w:after="40" w:before="40"/>
      </w:pPr>
      <w:r>
        <w:rPr>
          <w:rFonts w:ascii="Arial" w:cs="Arial" w:eastAsia="Arial" w:hAnsi="Arial"/>
          <w:b w:val="false"/>
          <w:bCs w:val="false"/>
          <w:color w:val="1A1A1A"/>
          <w:sz w:val="21"/>
          <w:szCs w:val="21"/>
        </w:rPr>
        <w:t xml:space="preserve">Step 2: POST to /verification/bvn/:bvn/selfies with image: "http://169.254.169.254/latest/meta-data/"</w:t>
      </w:r>
    </w:p>
    <w:p>
      <w:pPr>
        <w:pStyle w:val="ListParagraph"/>
        <w:numPr>
          <w:ilvl w:val="0"/>
          <w:numId w:val="2"/>
        </w:numPr>
        <w:spacing w:after="40" w:before="40"/>
      </w:pPr>
      <w:r>
        <w:rPr>
          <w:rFonts w:ascii="Arial" w:cs="Arial" w:eastAsia="Arial" w:hAnsi="Arial"/>
          <w:b w:val="false"/>
          <w:bCs w:val="false"/>
          <w:color w:val="1A1A1A"/>
          <w:sz w:val="21"/>
          <w:szCs w:val="21"/>
        </w:rPr>
        <w:t xml:space="preserve">Step 3: Observe whether the server returns an error message referencing the internal metadata content, or a timeout suggesting the request reached the internal endpoint</w:t>
      </w:r>
    </w:p>
    <w:p>
      <w:pPr>
        <w:spacing w:after="80" w:before="60"/>
      </w:pPr>
      <w:r>
        <w:rPr>
          <w:rFonts w:ascii="Arial" w:cs="Arial" w:eastAsia="Arial" w:hAnsi="Arial"/>
          <w:color w:val="1A1A1A"/>
          <w:sz w:val="21"/>
          <w:szCs w:val="21"/>
        </w:rPr>
        <w:t xml:space="preserve">Remediation: (a) Validate image URL scheme — reject anything other than https://; (b) Resolve the URL to an IP and block RFC 1918 address ranges (10.x, 172.16–31.x, 192.168.x) and link-local addresses (169.254.x.x) before fetching; (c) Consider accepting base64-encoded images in the request body instead, eliminating the server-side URL fetch entirely.</w:t>
      </w:r>
    </w:p>
    <w:p>
      <w:pPr>
        <w:spacing w:after="120" w:before="0"/>
      </w:pPr>
      <w:r>
        <w:t xml:space="preserve"/>
      </w:r>
    </w:p>
    <w:p>
      <w:pPr>
        <w:pStyle w:val="Heading3"/>
        <w:spacing w:after="80" w:before="240"/>
      </w:pPr>
      <w:r>
        <w:rPr>
          <w:rFonts w:ascii="Arial" w:cs="Arial" w:eastAsia="Arial" w:hAnsi="Arial"/>
          <w:b/>
          <w:bCs/>
          <w:color w:val="0E7C7B"/>
          <w:sz w:val="23"/>
          <w:szCs w:val="23"/>
        </w:rPr>
        <w:t xml:space="preserve">OBSERVATION SEC-003 — Ecosystem Endpoint Returns Full PII Without Field-Level Filtering</w:t>
      </w:r>
    </w:p>
    <w:p>
      <w:pPr>
        <w:spacing w:after="80" w:before="60"/>
      </w:pPr>
      <w:r>
        <w:rPr>
          <w:rFonts w:ascii="Arial" w:cs="Arial" w:eastAsia="Arial" w:hAnsi="Arial"/>
          <w:color w:val="1A1A1A"/>
          <w:sz w:val="21"/>
          <w:szCs w:val="21"/>
        </w:rPr>
        <w:t xml:space="preserve">Severity: Low (Observation)  |  Impact: Low-Medium  |  OWASP: API3:2023</w:t>
      </w:r>
    </w:p>
    <w:p>
      <w:pPr>
        <w:spacing w:after="80" w:before="60"/>
      </w:pPr>
      <w:r>
        <w:rPr>
          <w:rFonts w:ascii="Arial" w:cs="Arial" w:eastAsia="Arial" w:hAnsi="Arial"/>
          <w:color w:val="1A1A1A"/>
          <w:sz w:val="21"/>
          <w:szCs w:val="21"/>
        </w:rPr>
        <w:t xml:space="preserve">The GET /verification/ecosystem/:bvn endpoint returns a comprehensive borrower profile including email address, phone number, unique IP addresses, unique device IDs, and mobile OS types — all in a single call. While this data is legitimately useful for loan underwriting, it raises a data minimisation concern under the Nigerian Data Protection Regulation (NDPR): Capital Cash only needs the fields relevant to its specific credit decision, not the full dataset.</w:t>
      </w:r>
    </w:p>
    <w:p>
      <w:pPr>
        <w:spacing w:after="80" w:before="60"/>
      </w:pPr>
      <w:r>
        <w:rPr>
          <w:rFonts w:ascii="Arial" w:cs="Arial" w:eastAsia="Arial" w:hAnsi="Arial"/>
          <w:color w:val="1A1A1A"/>
          <w:sz w:val="21"/>
          <w:szCs w:val="21"/>
        </w:rPr>
        <w:t xml:space="preserve">Recommendation: Adjutor should offer field-selection query parameters (e.g. ?fields=credit_delinquency,loans,running_loans) allowing API consumers to request only the data fields they need. This reduces PII exposure, lowers payload size, and demonstrates NDPR compliance.</w:t>
      </w:r>
    </w:p>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Positive Security Observations</w:t>
      </w:r>
    </w:p>
    <w:p>
      <w:pPr>
        <w:pStyle w:val="ListParagraph"/>
        <w:numPr>
          <w:ilvl w:val="0"/>
          <w:numId w:val="2"/>
        </w:numPr>
        <w:spacing w:after="40" w:before="40"/>
      </w:pPr>
      <w:r>
        <w:rPr>
          <w:rFonts w:ascii="Arial" w:cs="Arial" w:eastAsia="Arial" w:hAnsi="Arial"/>
          <w:b w:val="false"/>
          <w:bCs w:val="false"/>
          <w:color w:val="1A1A1A"/>
          <w:sz w:val="21"/>
          <w:szCs w:val="21"/>
        </w:rPr>
        <w:t xml:space="preserve">Authentication is consistently enforced — every endpoint tested returned 401 without a valid Bearer token (26/26 auth tests passed)</w:t>
      </w:r>
    </w:p>
    <w:p>
      <w:pPr>
        <w:pStyle w:val="ListParagraph"/>
        <w:numPr>
          <w:ilvl w:val="0"/>
          <w:numId w:val="2"/>
        </w:numPr>
        <w:spacing w:after="40" w:before="40"/>
      </w:pPr>
      <w:r>
        <w:rPr>
          <w:rFonts w:ascii="Arial" w:cs="Arial" w:eastAsia="Arial" w:hAnsi="Arial"/>
          <w:b w:val="false"/>
          <w:bCs w:val="false"/>
          <w:color w:val="1A1A1A"/>
          <w:sz w:val="21"/>
          <w:szCs w:val="21"/>
        </w:rPr>
        <w:t xml:space="preserve">Signup and login are served exclusively over HTTPS with a valid TLS certificate — no mixed content</w:t>
      </w:r>
    </w:p>
    <w:p>
      <w:pPr>
        <w:pStyle w:val="ListParagraph"/>
        <w:numPr>
          <w:ilvl w:val="0"/>
          <w:numId w:val="2"/>
        </w:numPr>
        <w:spacing w:after="40" w:before="40"/>
      </w:pPr>
      <w:r>
        <w:rPr>
          <w:rFonts w:ascii="Arial" w:cs="Arial" w:eastAsia="Arial" w:hAnsi="Arial"/>
          <w:b w:val="false"/>
          <w:bCs w:val="false"/>
          <w:color w:val="1A1A1A"/>
          <w:sz w:val="21"/>
          <w:szCs w:val="21"/>
        </w:rPr>
        <w:t xml:space="preserve">API key scoping allows lenders to restrict which endpoints a key can access — principle of least privilege is supported</w:t>
      </w:r>
    </w:p>
    <w:p>
      <w:pPr>
        <w:pStyle w:val="ListParagraph"/>
        <w:numPr>
          <w:ilvl w:val="0"/>
          <w:numId w:val="2"/>
        </w:numPr>
        <w:spacing w:after="40" w:before="40"/>
      </w:pPr>
      <w:r>
        <w:rPr>
          <w:rFonts w:ascii="Arial" w:cs="Arial" w:eastAsia="Arial" w:hAnsi="Arial"/>
          <w:b w:val="false"/>
          <w:bCs w:val="false"/>
          <w:color w:val="1A1A1A"/>
          <w:sz w:val="21"/>
          <w:szCs w:val="21"/>
        </w:rPr>
        <w:t xml:space="preserve">Test/Live mode separation prevents accidental production data exposure during development and integration testing</w:t>
      </w:r>
    </w:p>
    <w:p>
      <w:pPr>
        <w:pStyle w:val="ListParagraph"/>
        <w:numPr>
          <w:ilvl w:val="0"/>
          <w:numId w:val="2"/>
        </w:numPr>
        <w:spacing w:after="40" w:before="40"/>
      </w:pPr>
      <w:r>
        <w:rPr>
          <w:rFonts w:ascii="Arial" w:cs="Arial" w:eastAsia="Arial" w:hAnsi="Arial"/>
          <w:b w:val="false"/>
          <w:bCs w:val="false"/>
          <w:color w:val="1A1A1A"/>
          <w:sz w:val="21"/>
          <w:szCs w:val="21"/>
        </w:rPr>
        <w:t xml:space="preserve">BVN consent requires explicit customer OTP confirmation before any BVN data is returned — aligned with NDPR customer consent requirements</w:t>
      </w:r>
    </w:p>
    <w:p>
      <w:pPr>
        <w:pStyle w:val="ListParagraph"/>
        <w:numPr>
          <w:ilvl w:val="0"/>
          <w:numId w:val="2"/>
        </w:numPr>
        <w:spacing w:after="40" w:before="40"/>
      </w:pPr>
      <w:r>
        <w:rPr>
          <w:rFonts w:ascii="Arial" w:cs="Arial" w:eastAsia="Arial" w:hAnsi="Arial"/>
          <w:b w:val="false"/>
          <w:bCs w:val="false"/>
          <w:color w:val="1A1A1A"/>
          <w:sz w:val="21"/>
          <w:szCs w:val="21"/>
        </w:rPr>
        <w:t xml:space="preserve">BETA endpoints are clearly labelled in documentation, preventing accidental production use of unstable features</w:t>
      </w:r>
    </w:p>
    <w:p>
      <w:pPr>
        <w:pStyle w:val="ListParagraph"/>
        <w:numPr>
          <w:ilvl w:val="0"/>
          <w:numId w:val="2"/>
        </w:numPr>
        <w:spacing w:after="40" w:before="40"/>
      </w:pPr>
      <w:r>
        <w:rPr>
          <w:rFonts w:ascii="Arial" w:cs="Arial" w:eastAsia="Arial" w:hAnsi="Arial"/>
          <w:b w:val="false"/>
          <w:bCs w:val="false"/>
          <w:color w:val="1A1A1A"/>
          <w:sz w:val="21"/>
          <w:szCs w:val="21"/>
        </w:rPr>
        <w:t xml:space="preserve">Zero server errors (5xx) were returned on any malformed or boundary input across all 44 test cases</w:t>
      </w:r>
    </w:p>
    <w:p>
      <w:pPr>
        <w:spacing w:after="120" w:before="0"/>
      </w:pPr>
      <w:r>
        <w:t xml:space="preserve"/>
      </w:r>
    </w:p>
    <w:p>
      <w:pPr>
        <w:pBdr>
          <w:left w:val="single" w:color="0E7C7B" w:sz="18"/>
        </w:pBdr>
        <w:shd w:fill="D6E4F0" w:val="clear"/>
        <w:spacing w:after="140" w:before="140"/>
        <w:ind w:left="360" w:right="360"/>
      </w:pPr>
      <w:r>
        <w:rPr>
          <w:rFonts w:ascii="Arial" w:cs="Arial" w:eastAsia="Arial" w:hAnsi="Arial"/>
          <w:i/>
          <w:iCs/>
          <w:color w:val="1A1A1A"/>
          <w:sz w:val="20"/>
          <w:szCs w:val="20"/>
        </w:rPr>
        <w:t xml:space="preserve">Overall Security Rating: MEDIUM — The Adjutor platform demonstrates strong authentication and consent-flow fundamentals. The two findings (rate-limiting gap and SSRF risk) are both addressable without major architectural changes. Capital Credit Limited should request confirmation of remediation from Lendsqr for SEC-001 and SEC-002 before Capital Cash goes live, particularly in light of the NGN wallet-drain risk in SEC-001.</w:t>
      </w:r>
    </w:p>
    <w:p>
      <w:pPr>
        <w:pStyle w:val="Heading1"/>
        <w:pageBreakBefore/>
        <w:pBdr>
          <w:bottom w:val="thick" w:color="0E7C7B" w:sz="12"/>
        </w:pBdr>
        <w:shd w:fill="1B3A6B" w:val="clear"/>
        <w:spacing w:after="240" w:before="0"/>
        <w:ind w:left="180" w:right="180"/>
      </w:pPr>
      <w:r>
        <w:rPr>
          <w:rFonts w:ascii="Arial" w:cs="Arial" w:eastAsia="Arial" w:hAnsi="Arial"/>
          <w:b/>
          <w:bCs/>
          <w:color w:val="FFFFFF"/>
          <w:sz w:val="30"/>
          <w:szCs w:val="30"/>
        </w:rPr>
        <w:t xml:space="preserve">Appendix — Reference Information</w:t>
      </w:r>
    </w:p>
    <w:p>
      <w:pPr>
        <w:pStyle w:val="Heading2"/>
        <w:pBdr>
          <w:bottom w:val="single" w:color="D6E4F0" w:sz="4"/>
        </w:pBdr>
        <w:spacing w:after="120" w:before="320"/>
      </w:pPr>
      <w:r>
        <w:rPr>
          <w:rFonts w:ascii="Arial" w:cs="Arial" w:eastAsia="Arial" w:hAnsi="Arial"/>
          <w:b/>
          <w:bCs/>
          <w:color w:val="1B3A6B"/>
          <w:sz w:val="26"/>
          <w:szCs w:val="26"/>
        </w:rPr>
        <w:t xml:space="preserve">A. Endpoints Tested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4840"/>
      </w:tblGrid>
      <w:tr>
        <w:trPr>
          <w:tblHeader/>
        </w:trPr>
        <w:tc>
          <w:tcPr>
            <w:tcW w:type="dxa" w:w="12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Method</w:t>
            </w:r>
          </w:p>
        </w:tc>
        <w:tc>
          <w:tcPr>
            <w:tcW w:type="dxa" w:w="26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Endpoint</w:t>
            </w:r>
          </w:p>
        </w:tc>
        <w:tc>
          <w:tcPr>
            <w:tcW w:type="dxa" w:w="484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Description</w:t>
            </w:r>
          </w:p>
        </w:tc>
      </w:tr>
      <w:tr>
        <w:tc>
          <w:tcPr>
            <w:tcW w:type="dxa" w:w="1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GET</w:t>
            </w:r>
          </w:p>
        </w:tc>
        <w:tc>
          <w:tcPr>
            <w:tcW w:type="dxa" w:w="26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/verification/karma/:identifier</w:t>
            </w:r>
          </w:p>
        </w:tc>
        <w:tc>
          <w:tcPr>
            <w:tcW w:type="dxa" w:w="484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Check if an identity is on the Karma blacklist. Accepts email, phone (+234), BVN, domain, or NUBAN. Cost: ₦10.</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GET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/verification/ecosystem/:bvn</w:t>
            </w:r>
          </w:p>
        </w:tc>
        <w:tc>
          <w:tcPr>
            <w:tcW w:type="dxa" w:w="4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Retrieve full borrower profile from the Lendsqr lending ecosystem. 40+ fields. Cost: ₦25.</w:t>
            </w:r>
          </w:p>
        </w:tc>
      </w:tr>
      <w:tr>
        <w:tc>
          <w:tcPr>
            <w:tcW w:type="dxa" w:w="1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POST</w:t>
            </w:r>
          </w:p>
        </w:tc>
        <w:tc>
          <w:tcPr>
            <w:tcW w:type="dxa" w:w="26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/verification/bvn/:bvn/accounts</w:t>
            </w:r>
          </w:p>
        </w:tc>
        <w:tc>
          <w:tcPr>
            <w:tcW w:type="dxa" w:w="484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Initiate BVN consent — sends OTP to customer's BVN-registered contact. Cost: ₦0.</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PUT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/verification/bvn/:bvn/accounts</w:t>
            </w:r>
          </w:p>
        </w:tc>
        <w:tc>
          <w:tcPr>
            <w:tcW w:type="dxa" w:w="4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Complete BVN consent with OTP — returns full BVN data. Cost: ₦20.</w:t>
            </w:r>
          </w:p>
        </w:tc>
      </w:tr>
      <w:tr>
        <w:tc>
          <w:tcPr>
            <w:tcW w:type="dxa" w:w="1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POST</w:t>
            </w:r>
          </w:p>
        </w:tc>
        <w:tc>
          <w:tcPr>
            <w:tcW w:type="dxa" w:w="26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/verification/bvn/:bvn/selfies</w:t>
            </w:r>
          </w:p>
        </w:tc>
        <w:tc>
          <w:tcPr>
            <w:tcW w:type="dxa" w:w="484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BVN image/facial comparison. Returns match (bool) and similarity (float). Cost: ₦30.</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POST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/verification/bankaccount/bvn</w:t>
            </w:r>
          </w:p>
        </w:tc>
        <w:tc>
          <w:tcPr>
            <w:tcW w:type="dxa" w:w="4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Verify a NUBAN account number against its BVN. Returns account_name, bvn. Cost: ₦10.</w:t>
            </w:r>
          </w:p>
        </w:tc>
      </w:tr>
    </w:tbl>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B. API Cost Summary (NGN)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840"/>
      </w:tblGrid>
      <w:tr>
        <w:trPr>
          <w:tblHeader/>
        </w:trPr>
        <w:tc>
          <w:tcPr>
            <w:tcW w:type="dxa" w:w="22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Endpoint</w:t>
            </w:r>
          </w:p>
        </w:tc>
        <w:tc>
          <w:tcPr>
            <w:tcW w:type="dxa" w:w="16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Cost per Call</w:t>
            </w:r>
          </w:p>
        </w:tc>
        <w:tc>
          <w:tcPr>
            <w:tcW w:type="dxa" w:w="484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Notes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Karma Lookup</w:t>
            </w:r>
          </w:p>
        </w:tc>
        <w:tc>
          <w:tcPr>
            <w:tcW w:type="dxa" w:w="16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₦10</w:t>
            </w:r>
          </w:p>
        </w:tc>
        <w:tc>
          <w:tcPr>
            <w:tcW w:type="dxa" w:w="484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Charged on successful hit only; ₦0 if not on karma list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Ecosystem Lookup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₦25</w:t>
            </w:r>
          </w:p>
        </w:tc>
        <w:tc>
          <w:tcPr>
            <w:tcW w:type="dxa" w:w="4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Always charged per call regardless of result</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BVN Consent Init</w:t>
            </w:r>
          </w:p>
        </w:tc>
        <w:tc>
          <w:tcPr>
            <w:tcW w:type="dxa" w:w="16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₦0</w:t>
            </w:r>
          </w:p>
        </w:tc>
        <w:tc>
          <w:tcPr>
            <w:tcW w:type="dxa" w:w="484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Consent initiation (OTP send) is free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BVN Consent Complete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₦20</w:t>
            </w:r>
          </w:p>
        </w:tc>
        <w:tc>
          <w:tcPr>
            <w:tcW w:type="dxa" w:w="4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Charged when OTP is verified and BVN data returned</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BVN Image Match</w:t>
            </w:r>
          </w:p>
        </w:tc>
        <w:tc>
          <w:tcPr>
            <w:tcW w:type="dxa" w:w="16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₦30</w:t>
            </w:r>
          </w:p>
        </w:tc>
        <w:tc>
          <w:tcPr>
            <w:tcW w:type="dxa" w:w="484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Charged per facial comparison call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Bank Account Verification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₦10</w:t>
            </w:r>
          </w:p>
        </w:tc>
        <w:tc>
          <w:tcPr>
            <w:tcW w:type="dxa" w:w="4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Charged per successful account resolution</w:t>
            </w:r>
          </w:p>
        </w:tc>
      </w:tr>
    </w:tbl>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C. Tech Stack Used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rPr>
          <w:tblHeader/>
        </w:trPr>
        <w:tc>
          <w:tcPr>
            <w:tcW w:type="dxa" w:w="300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Component</w:t>
            </w:r>
          </w:p>
        </w:tc>
        <w:tc>
          <w:tcPr>
            <w:tcW w:type="dxa" w:w="5640"/>
            <w:tcBorders>
              <w:top w:val="single" w:color="0E7C7B" w:sz="4"/>
              <w:left w:val="single" w:color="0E7C7B" w:sz="4"/>
              <w:bottom w:val="single" w:color="0E7C7B" w:sz="4"/>
              <w:right w:val="single" w:color="0E7C7B" w:sz="4"/>
            </w:tcBorders>
            <w:shd w:fill="1B3A6B" w:val="clear"/>
            <w:tcMar>
              <w:top w:type="dxa" w:w="80"/>
              <w:left w:type="dxa" w:w="140"/>
              <w:bottom w:type="dxa" w:w="80"/>
              <w:right w:type="dxa" w:w="140"/>
            </w:tcMar>
            <w:vAlign w:val="center"/>
          </w:tcPr>
          <w:p>
            <w:r>
              <w:rPr>
                <w:rFonts w:ascii="Arial" w:cs="Arial" w:eastAsia="Arial" w:hAnsi="Arial"/>
                <w:b/>
                <w:bCs/>
                <w:color w:val="FFFFFF"/>
                <w:sz w:val="18"/>
                <w:szCs w:val="18"/>
              </w:rPr>
              <w:t xml:space="preserve">Details</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Runtime</w:t>
            </w:r>
          </w:p>
        </w:tc>
        <w:tc>
          <w:tcPr>
            <w:tcW w:type="dxa" w:w="564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Node.js v18+</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Test Framework</w:t>
            </w:r>
          </w:p>
        </w:tc>
        <w:tc>
          <w:tcPr>
            <w:tcW w:type="dxa" w:w="5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Jest v29.7.0 — chosen for async support, rich assertions, and --runInBand to prevent rate-limit issues</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HTTP Client</w:t>
            </w:r>
          </w:p>
        </w:tc>
        <w:tc>
          <w:tcPr>
            <w:tcW w:type="dxa" w:w="564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Axios v1.6.8 — with custom request-timing interceptors for Task 3 performance data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Environment Mgmt</w:t>
            </w:r>
          </w:p>
        </w:tc>
        <w:tc>
          <w:tcPr>
            <w:tcW w:type="dxa" w:w="5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dotenv v16.4.5 — API key loaded from .env, never hardcoded</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Manual Test Docs</w:t>
            </w:r>
          </w:p>
        </w:tc>
        <w:tc>
          <w:tcPr>
            <w:tcW w:type="dxa" w:w="564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r>
              <w:rPr>
                <w:rFonts w:ascii="Arial" w:cs="Arial" w:eastAsia="Arial" w:hAnsi="Arial"/>
                <w:color w:val="1A1A1A"/>
                <w:sz w:val="18"/>
                <w:szCs w:val="18"/>
              </w:rPr>
              <w:t xml:space="preserve">Google Sheets — one tab per functional area (Signup, Login, API Keys)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Report Format</w:t>
            </w:r>
          </w:p>
        </w:tc>
        <w:tc>
          <w:tcPr>
            <w:tcW w:type="dxa" w:w="5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18"/>
                <w:szCs w:val="18"/>
              </w:rPr>
              <w:t xml:space="preserve">Word (.docx) — generated via docx-js for executive delivery</w:t>
            </w:r>
          </w:p>
        </w:tc>
      </w:tr>
    </w:tbl>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D. Dummy Data Disclosure</w:t>
      </w:r>
    </w:p>
    <w:p>
      <w:pPr>
        <w:spacing w:after="80" w:before="60"/>
      </w:pPr>
      <w:r>
        <w:rPr>
          <w:rFonts w:ascii="Arial" w:cs="Arial" w:eastAsia="Arial" w:hAnsi="Arial"/>
          <w:color w:val="1A1A1A"/>
          <w:sz w:val="21"/>
          <w:szCs w:val="21"/>
        </w:rPr>
        <w:t xml:space="preserve">As explicitly permitted by the assessment brief, dummy and placeholder data was used wherever KYC documents or real customer details would normally be required. Specifically:</w:t>
      </w:r>
    </w:p>
    <w:p>
      <w:pPr>
        <w:pStyle w:val="ListParagraph"/>
        <w:numPr>
          <w:ilvl w:val="0"/>
          <w:numId w:val="2"/>
        </w:numPr>
        <w:spacing w:after="40" w:before="40"/>
      </w:pPr>
      <w:r>
        <w:rPr>
          <w:rFonts w:ascii="Arial" w:cs="Arial" w:eastAsia="Arial" w:hAnsi="Arial"/>
          <w:b w:val="false"/>
          <w:bCs w:val="false"/>
          <w:color w:val="1A1A1A"/>
          <w:sz w:val="21"/>
          <w:szCs w:val="21"/>
        </w:rPr>
        <w:t xml:space="preserve">BVN values in tests are either from official Lendsqr documentation samples (e.g. 22153475955, 22536011111) or are fictional 11-digit values following the documented format</w:t>
      </w:r>
    </w:p>
    <w:p>
      <w:pPr>
        <w:pStyle w:val="ListParagraph"/>
        <w:numPr>
          <w:ilvl w:val="0"/>
          <w:numId w:val="2"/>
        </w:numPr>
        <w:spacing w:after="40" w:before="40"/>
      </w:pPr>
      <w:r>
        <w:rPr>
          <w:rFonts w:ascii="Arial" w:cs="Arial" w:eastAsia="Arial" w:hAnsi="Arial"/>
          <w:b w:val="false"/>
          <w:bCs w:val="false"/>
          <w:color w:val="1A1A1A"/>
          <w:sz w:val="21"/>
          <w:szCs w:val="21"/>
        </w:rPr>
        <w:t xml:space="preserve">Email addresses used in contact fields follow the pattern testuser@capitcash.ng — not associated with real individuals</w:t>
      </w:r>
    </w:p>
    <w:p>
      <w:pPr>
        <w:pStyle w:val="ListParagraph"/>
        <w:numPr>
          <w:ilvl w:val="0"/>
          <w:numId w:val="2"/>
        </w:numPr>
        <w:spacing w:after="40" w:before="40"/>
      </w:pPr>
      <w:r>
        <w:rPr>
          <w:rFonts w:ascii="Arial" w:cs="Arial" w:eastAsia="Arial" w:hAnsi="Arial"/>
          <w:b w:val="false"/>
          <w:bCs w:val="false"/>
          <w:color w:val="1A1A1A"/>
          <w:sz w:val="21"/>
          <w:szCs w:val="21"/>
        </w:rPr>
        <w:t xml:space="preserve">No real customer data, real BVNs, or real bank account details belonging to any individual were used at any point in this assessment</w:t>
      </w:r>
    </w:p>
    <w:p>
      <w:pPr>
        <w:spacing w:after="120" w:before="0"/>
      </w:pPr>
      <w:r>
        <w:t xml:space="preserve"/>
      </w:r>
    </w:p>
    <w:p>
      <w:pPr>
        <w:pStyle w:val="Heading2"/>
        <w:pBdr>
          <w:bottom w:val="single" w:color="D6E4F0" w:sz="4"/>
        </w:pBdr>
        <w:spacing w:after="120" w:before="320"/>
      </w:pPr>
      <w:r>
        <w:rPr>
          <w:rFonts w:ascii="Arial" w:cs="Arial" w:eastAsia="Arial" w:hAnsi="Arial"/>
          <w:b/>
          <w:bCs/>
          <w:color w:val="1B3A6B"/>
          <w:sz w:val="26"/>
          <w:szCs w:val="26"/>
        </w:rPr>
        <w:t xml:space="preserve">E. Currency Compliance Note</w:t>
      </w:r>
    </w:p>
    <w:p>
      <w:pPr>
        <w:spacing w:after="80" w:before="60"/>
      </w:pPr>
      <w:r>
        <w:rPr>
          <w:rFonts w:ascii="Arial" w:cs="Arial" w:eastAsia="Arial" w:hAnsi="Arial"/>
          <w:color w:val="1A1A1A"/>
          <w:sz w:val="21"/>
          <w:szCs w:val="21"/>
        </w:rPr>
        <w:t xml:space="preserve">All testing, endpoint calls, wallet top-ups, and cost validations in this assessment were conducted with the platform set to Nigerian Naira (NGN). API costs referenced throughout this report (e.g. ₦10 for Karma Lookup, ₦25 for Ecosystem Lookup) are the official NGN rates as documented by Lendsqr at time of assessment. The currency was not changed to any other denomination during the assessment as specified in the brief.</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2"/>
      </w:pBdr>
      <w:spacing w:before="100"/>
      <w:jc w:val="center"/>
    </w:pPr>
    <w:r>
      <w:rPr>
        <w:rFonts w:ascii="Arial" w:cs="Arial" w:eastAsia="Arial" w:hAnsi="Arial"/>
        <w:color w:val="888888"/>
        <w:sz w:val="16"/>
        <w:szCs w:val="16"/>
      </w:rPr>
      <w:t xml:space="preserve">Capital Credit Limited  ·  Adjutor API QA Report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0E7C7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2026-05-12T18:39:22.926Z</dcterms:created>
  <dcterms:modified xsi:type="dcterms:W3CDTF">2026-05-12T18:39:22.926Z</dcterms:modified>
</cp:coreProperties>
</file>

<file path=docProps/custom.xml><?xml version="1.0" encoding="utf-8"?>
<Properties xmlns="http://schemas.openxmlformats.org/officeDocument/2006/custom-properties" xmlns:vt="http://schemas.openxmlformats.org/officeDocument/2006/docPropsVTypes"/>
</file>