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60"/>
        <w:jc w:val="center"/>
      </w:pPr>
      <w:r>
        <w:rPr>
          <w:rFonts w:ascii="Arial" w:cs="Arial" w:eastAsia="Arial" w:hAnsi="Arial"/>
          <w:b/>
          <w:bCs/>
          <w:color w:val="1B4F72"/>
          <w:sz w:val="44"/>
          <w:szCs w:val="44"/>
        </w:rPr>
        <w:t xml:space="preserve">The AI Compute Squeeze</w:t>
      </w:r>
    </w:p>
    <w:p>
      <w:pPr>
        <w:spacing w:after="40"/>
        <w:jc w:val="center"/>
      </w:pPr>
      <w:r>
        <w:rPr>
          <w:rFonts w:ascii="Arial" w:cs="Arial" w:eastAsia="Arial" w:hAnsi="Arial"/>
          <w:i/>
          <w:iCs/>
          <w:color w:val="555555"/>
          <w:sz w:val="24"/>
          <w:szCs w:val="24"/>
        </w:rPr>
        <w:t xml:space="preserve">Consumer Demand Is Now Outpacing the Datacenters. That Changes Everything.</w:t>
      </w:r>
    </w:p>
    <w:p>
      <w:pPr>
        <w:spacing w:after="400"/>
        <w:jc w:val="center"/>
      </w:pPr>
      <w:r>
        <w:rPr>
          <w:rFonts w:ascii="Arial" w:cs="Arial" w:eastAsia="Arial" w:hAnsi="Arial"/>
          <w:color w:val="888888"/>
          <w:sz w:val="20"/>
          <w:szCs w:val="20"/>
        </w:rPr>
        <w:t xml:space="preserve">Drew  |  April 5, 2026</w:t>
      </w:r>
    </w:p>
    <w:p>
      <w:pPr>
        <w:pStyle w:val="Heading1"/>
        <w:spacing w:after="200" w:before="360"/>
      </w:pPr>
      <w:r>
        <w:rPr>
          <w:rFonts w:ascii="Arial" w:cs="Arial" w:eastAsia="Arial" w:hAnsi="Arial"/>
          <w:b/>
          <w:bCs/>
          <w:color w:val="1B4F72"/>
          <w:sz w:val="28"/>
          <w:szCs w:val="28"/>
        </w:rPr>
        <w:t xml:space="preserve">What I’m Seeing</w:t>
      </w:r>
    </w:p>
    <w:p>
      <w:pPr>
        <w:spacing w:after="200" w:line="276"/>
      </w:pPr>
      <w:r>
        <w:rPr>
          <w:rFonts w:ascii="Arial" w:cs="Arial" w:eastAsia="Arial" w:hAnsi="Arial"/>
          <w:color w:val="1C1C1C"/>
          <w:sz w:val="22"/>
          <w:szCs w:val="22"/>
        </w:rPr>
        <w:t xml:space="preserve">I’ve been watching something play out over the last few weeks that I think is worth writing up. Up until now, the AI investment story has mostly been about datacenters buying chips. Hyperscalers placing massive GPU orders, NVIDIA posting blowout quarters, TSMC running at full capacity. That was Phase 1: the supply-side buildout.</w:t>
      </w:r>
    </w:p>
    <w:p>
      <w:pPr>
        <w:spacing w:after="200" w:line="276"/>
      </w:pPr>
      <w:r>
        <w:rPr>
          <w:rFonts w:ascii="Arial" w:cs="Arial" w:eastAsia="Arial" w:hAnsi="Arial"/>
          <w:color w:val="1C1C1C"/>
          <w:sz w:val="22"/>
          <w:szCs w:val="22"/>
        </w:rPr>
        <w:t xml:space="preserve">What I’m seeing now is Phase 2. </w:t>
      </w:r>
      <w:r>
        <w:rPr>
          <w:rFonts w:ascii="Arial" w:cs="Arial" w:eastAsia="Arial" w:hAnsi="Arial"/>
          <w:b/>
          <w:bCs/>
          <w:color w:val="1C1C1C"/>
          <w:sz w:val="22"/>
          <w:szCs w:val="22"/>
        </w:rPr>
        <w:t xml:space="preserve">The customers of those datacenters, the actual AI providers serving end users, are running out of the compute they bought.</w:t>
      </w:r>
      <w:r>
        <w:rPr>
          <w:rFonts w:ascii="Arial" w:cs="Arial" w:eastAsia="Arial" w:hAnsi="Arial"/>
          <w:color w:val="1C1C1C"/>
          <w:sz w:val="22"/>
          <w:szCs w:val="22"/>
        </w:rPr>
        <w:t xml:space="preserve"> OpenAI is killing products to free up GPUs. Anthropic is rationing access to Claude. Google is gutting its free tier and pushing users behind paywalls. These companies already spent billions on compute, and it’s not enough.</w:t>
      </w:r>
    </w:p>
    <w:p>
      <w:pPr>
        <w:spacing w:after="200" w:line="276"/>
      </w:pPr>
      <w:r>
        <w:rPr>
          <w:rFonts w:ascii="Arial" w:cs="Arial" w:eastAsia="Arial" w:hAnsi="Arial"/>
          <w:color w:val="1C1C1C"/>
          <w:sz w:val="22"/>
          <w:szCs w:val="22"/>
        </w:rPr>
        <w:t xml:space="preserve">This matters because it’s the clearest signal yet that AI demand is real and accelerating from the consumer side. The datacenters need to buy more. I want to walk through the specific evidence and why I think this is significant for anyone watching AI infrastructure.</w:t>
      </w:r>
    </w:p>
    <w:p>
      <w:pPr>
        <w:pStyle w:val="Heading1"/>
        <w:spacing w:after="200" w:before="360"/>
      </w:pPr>
      <w:r>
        <w:rPr>
          <w:rFonts w:ascii="Arial" w:cs="Arial" w:eastAsia="Arial" w:hAnsi="Arial"/>
          <w:b/>
          <w:bCs/>
          <w:color w:val="1B4F72"/>
          <w:sz w:val="28"/>
          <w:szCs w:val="28"/>
        </w:rPr>
        <w:t xml:space="preserve">OpenAI Kills Sora</w:t>
      </w:r>
    </w:p>
    <w:p>
      <w:pPr>
        <w:spacing w:after="200" w:line="276"/>
      </w:pPr>
      <w:r>
        <w:rPr>
          <w:rFonts w:ascii="Arial" w:cs="Arial" w:eastAsia="Arial" w:hAnsi="Arial"/>
          <w:color w:val="1C1C1C"/>
          <w:sz w:val="22"/>
          <w:szCs w:val="22"/>
        </w:rPr>
        <w:t xml:space="preserve">This one caught my attention. On March 24, Bloomberg reported that OpenAI is shutting down Sora, their text-to-video product. The Sora app goes dark April 26, and the API shuts down September 24. First major product shutdown in the company’s history.</w:t>
      </w:r>
    </w:p>
    <w:p>
      <w:pPr>
        <w:spacing w:after="200" w:line="276"/>
      </w:pPr>
      <w:r>
        <w:rPr>
          <w:rFonts w:ascii="Arial" w:cs="Arial" w:eastAsia="Arial" w:hAnsi="Arial"/>
          <w:color w:val="1C1C1C"/>
          <w:sz w:val="22"/>
          <w:szCs w:val="22"/>
        </w:rPr>
        <w:t xml:space="preserve">The numbers behind it are telling. Sora peaked at about a million monthly users, then collapsed below 500,000. Meanwhile, the product was burning roughly </w:t>
      </w:r>
      <w:r>
        <w:rPr>
          <w:rFonts w:ascii="Arial" w:cs="Arial" w:eastAsia="Arial" w:hAnsi="Arial"/>
          <w:b/>
          <w:bCs/>
          <w:color w:val="1C1C1C"/>
          <w:sz w:val="22"/>
          <w:szCs w:val="22"/>
        </w:rPr>
        <w:t xml:space="preserve">$1 million per day</w:t>
      </w:r>
      <w:r>
        <w:rPr>
          <w:rFonts w:ascii="Arial" w:cs="Arial" w:eastAsia="Arial" w:hAnsi="Arial"/>
          <w:color w:val="1C1C1C"/>
          <w:sz w:val="22"/>
          <w:szCs w:val="22"/>
        </w:rPr>
        <w:t xml:space="preserve"> in compute costs. OpenAI decided it couldn’t justify that GPU allocation when their coding and enterprise products, built around an upcoming model code-named “Spud,” needed the same silicon.</w:t>
      </w:r>
    </w:p>
    <w:p>
      <w:pPr>
        <w:spacing w:after="200" w:line="276"/>
      </w:pPr>
      <w:r>
        <w:rPr>
          <w:rFonts w:ascii="Arial" w:cs="Arial" w:eastAsia="Arial" w:hAnsi="Arial"/>
          <w:color w:val="1C1C1C"/>
          <w:sz w:val="22"/>
          <w:szCs w:val="22"/>
        </w:rPr>
        <w:t xml:space="preserve">The collateral damage here is significant. Disney walked away from a planned $1 billion investment in OpenAI. They found out Sora was being killed less than an hour before the public did. When a company valued north of $150 billion sacrifices a Disney partnership to free up GPUs, that tells you how severe the compute constraint is.</w:t>
      </w:r>
    </w:p>
    <w:p>
      <w:pPr>
        <w:pStyle w:val="Heading1"/>
        <w:spacing w:after="200" w:before="360"/>
      </w:pPr>
      <w:r>
        <w:rPr>
          <w:rFonts w:ascii="Arial" w:cs="Arial" w:eastAsia="Arial" w:hAnsi="Arial"/>
          <w:b/>
          <w:bCs/>
          <w:color w:val="1B4F72"/>
          <w:sz w:val="28"/>
          <w:szCs w:val="28"/>
        </w:rPr>
        <w:t xml:space="preserve">Anthropic Starts Rationing Claude</w:t>
      </w:r>
    </w:p>
    <w:p>
      <w:pPr>
        <w:spacing w:after="200" w:line="276"/>
      </w:pPr>
      <w:r>
        <w:rPr>
          <w:rFonts w:ascii="Arial" w:cs="Arial" w:eastAsia="Arial" w:hAnsi="Arial"/>
          <w:color w:val="1C1C1C"/>
          <w:sz w:val="22"/>
          <w:szCs w:val="22"/>
        </w:rPr>
        <w:t xml:space="preserve">I’m a Claude user myself, so this one I felt firsthand. Anthropic took a different approach to the same problem. Instead of killing a product, they’re throttling the one they have.</w:t>
      </w:r>
    </w:p>
    <w:p>
      <w:pPr>
        <w:spacing w:after="200" w:line="276"/>
      </w:pPr>
      <w:r>
        <w:rPr>
          <w:rFonts w:ascii="Arial" w:cs="Arial" w:eastAsia="Arial" w:hAnsi="Arial"/>
          <w:color w:val="1C1C1C"/>
          <w:sz w:val="22"/>
          <w:szCs w:val="22"/>
        </w:rPr>
        <w:t xml:space="preserve">In late March, Anthropic confirmed they’re reducing session limits for Free, Pro, and Max subscribers during peak hours (5 a.m. to 11 a.m. Pacific). About 7% of users are hitting stricter daily caps even though weekly quotas haven’t officially changed. They’ve also acknowledged that Claude Code users are burning through limits “way faster than expected” and called it a top priority.</w:t>
      </w:r>
    </w:p>
    <w:p>
      <w:pPr>
        <w:spacing w:after="200" w:line="276"/>
      </w:pPr>
      <w:r>
        <w:rPr>
          <w:rFonts w:ascii="Arial" w:cs="Arial" w:eastAsia="Arial" w:hAnsi="Arial"/>
          <w:color w:val="1C1C1C"/>
          <w:sz w:val="22"/>
          <w:szCs w:val="22"/>
        </w:rPr>
        <w:t xml:space="preserve">The bigger move: as of April 4, Claude subscriptions no longer cover usage through third-party tools like OpenClaw. If you want to use Claude through those interfaces, you now need to buy separate usage bundles or bring your own API key.</w:t>
      </w:r>
    </w:p>
    <w:p>
      <w:pPr>
        <w:pStyle w:val="Heading1"/>
        <w:spacing w:after="200" w:before="360"/>
      </w:pPr>
      <w:r>
        <w:rPr>
          <w:rFonts w:ascii="Arial" w:cs="Arial" w:eastAsia="Arial" w:hAnsi="Arial"/>
          <w:b/>
          <w:bCs/>
          <w:color w:val="1B4F72"/>
          <w:sz w:val="28"/>
          <w:szCs w:val="28"/>
        </w:rPr>
        <w:t xml:space="preserve">Google Guts the Gemini Free Tier</w:t>
      </w:r>
    </w:p>
    <w:p>
      <w:pPr>
        <w:spacing w:after="200" w:line="276"/>
      </w:pPr>
      <w:r>
        <w:rPr>
          <w:rFonts w:ascii="Arial" w:cs="Arial" w:eastAsia="Arial" w:hAnsi="Arial"/>
          <w:color w:val="1C1C1C"/>
          <w:sz w:val="22"/>
          <w:szCs w:val="22"/>
        </w:rPr>
        <w:t xml:space="preserve">Google is making similar moves. Starting April 1, they enforced mandatory spending caps across all Gemini API billing tiers and locked Pro models behind a paywall for free users. If you’re on the free tier, you’re now restricted to Flash and Flash-Lite models only. Pro access requires a paid API key or a Google AI Pro/Ultra subscription.</w:t>
      </w:r>
    </w:p>
    <w:p>
      <w:pPr>
        <w:spacing w:after="200" w:line="276"/>
      </w:pPr>
      <w:r>
        <w:rPr>
          <w:rFonts w:ascii="Arial" w:cs="Arial" w:eastAsia="Arial" w:hAnsi="Arial"/>
          <w:color w:val="1C1C1C"/>
          <w:sz w:val="22"/>
          <w:szCs w:val="22"/>
        </w:rPr>
        <w:t xml:space="preserve">Back in December 2025, Google had already cut free quotas by 50-80%. The April changes just finished the job by removing Pro model access entirely. The free tier technically still exists, but it’s only useful for prototyping or very low-traffic apps. Anything production-grade now requires billing.</w:t>
      </w:r>
    </w:p>
    <w:p>
      <w:pPr>
        <w:spacing w:after="200" w:line="276"/>
      </w:pPr>
      <w:r>
        <w:rPr>
          <w:rFonts w:ascii="Arial" w:cs="Arial" w:eastAsia="Arial" w:hAnsi="Arial"/>
          <w:color w:val="1C1C1C"/>
          <w:sz w:val="22"/>
          <w:szCs w:val="22"/>
        </w:rPr>
        <w:t xml:space="preserve">Same pattern as Anthropic and OpenAI: Google has more demand for their AI models than they can serve, so they’re pushing free users off the higher-end compute to make room for paying customers.</w:t>
      </w:r>
    </w:p>
    <w:p>
      <w:pPr>
        <w:pStyle w:val="Heading1"/>
        <w:spacing w:after="200" w:before="360"/>
      </w:pPr>
      <w:r>
        <w:rPr>
          <w:rFonts w:ascii="Arial" w:cs="Arial" w:eastAsia="Arial" w:hAnsi="Arial"/>
          <w:b/>
          <w:bCs/>
          <w:color w:val="1B4F72"/>
          <w:sz w:val="28"/>
          <w:szCs w:val="28"/>
        </w:rPr>
        <w:t xml:space="preserve">The Broader Compute Shortage</w:t>
      </w:r>
    </w:p>
    <w:p>
      <w:pPr>
        <w:spacing w:after="200" w:line="276"/>
      </w:pPr>
      <w:r>
        <w:rPr>
          <w:rFonts w:ascii="Arial" w:cs="Arial" w:eastAsia="Arial" w:hAnsi="Arial"/>
          <w:color w:val="1C1C1C"/>
          <w:sz w:val="22"/>
          <w:szCs w:val="22"/>
        </w:rPr>
        <w:t xml:space="preserve">These aren’t isolated incidents. The wider supply picture backs this up. Data-center GPU lead times have stretched to roughly a year, and supply is expected to stay tight through at least late 2026. NVIDIA’s H100 GPUs and the upcoming Blackwell series are sold out well in advance. High-bandwidth memory (HBM) and DRAM are in short supply too. DRAM lead times are over twenty weeks, and vendors have moved to allocation-only ordering. They’re effectively rationing.</w:t>
      </w:r>
    </w:p>
    <w:p>
      <w:pPr>
        <w:spacing w:after="200" w:line="276"/>
      </w:pPr>
      <w:r>
        <w:rPr>
          <w:rFonts w:ascii="Arial" w:cs="Arial" w:eastAsia="Arial" w:hAnsi="Arial"/>
          <w:color w:val="1C1C1C"/>
          <w:sz w:val="22"/>
          <w:szCs w:val="22"/>
        </w:rPr>
        <w:t xml:space="preserve">On the demand side, all major AI accelerator families are transitioning to TSMC’s N3 process node this year, and AI is expected to account for the majority of N3 demand. The market is splitting in two: hyperscalers like Google, Microsoft, Amazon, and Meta have locked up multi-year contracts and are getting their chips. Smaller companies and startups are left scrambling on secondary markets or renting through cloud providers at premium prices.</w:t>
      </w:r>
    </w:p>
    <w:p>
      <w:pPr>
        <w:pStyle w:val="Heading1"/>
        <w:spacing w:after="200" w:before="360"/>
      </w:pPr>
      <w:r>
        <w:rPr>
          <w:rFonts w:ascii="Arial" w:cs="Arial" w:eastAsia="Arial" w:hAnsi="Arial"/>
          <w:b/>
          <w:bCs/>
          <w:color w:val="1B4F72"/>
          <w:sz w:val="28"/>
          <w:szCs w:val="28"/>
        </w:rPr>
        <w:t xml:space="preserve">The Evidence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Action Taken</w:t>
            </w:r>
          </w:p>
        </w:tc>
        <w:tc>
          <w:tcPr>
            <w:tcW w:type="dxa" w:w="32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Signals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1C1C"/>
                <w:sz w:val="20"/>
                <w:szCs w:val="20"/>
              </w:rPr>
              <w:t xml:space="preserve">OpenAI</w:t>
            </w:r>
          </w:p>
        </w:tc>
        <w:tc>
          <w:tcPr>
            <w:tcW w:type="dxa" w:w="32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Discontinued Sora (burning ~$1M/day in compute)</w:t>
            </w:r>
          </w:p>
        </w:tc>
        <w:tc>
          <w:tcPr>
            <w:tcW w:type="dxa" w:w="32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Reallocating GPUs to higher-margin coding/enterprise products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Anthropic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Reduced peak-hour session limits; cut third-party tool access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Demand exceeding capacity; prioritizing direct revenue channels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1C1C"/>
                <w:sz w:val="20"/>
                <w:szCs w:val="20"/>
              </w:rPr>
              <w:t xml:space="preserve">Google</w:t>
            </w:r>
          </w:p>
        </w:tc>
        <w:tc>
          <w:tcPr>
            <w:tcW w:type="dxa" w:w="32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Locked Gemini Pro behind paywall; cut free quotas 50-80%</w:t>
            </w:r>
          </w:p>
        </w:tc>
        <w:tc>
          <w:tcPr>
            <w:tcW w:type="dxa" w:w="32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Pushing free users off high-end compute to serve paying customers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C1C1C"/>
                <w:sz w:val="20"/>
                <w:szCs w:val="20"/>
              </w:rPr>
              <w:t xml:space="preserve">NVIDIA / TSMC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H100 and Blackwell sold out; N3 allocation dominated by AI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Multi-year supply constraint at the chip fabrication layer</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C1C1C"/>
                <w:sz w:val="20"/>
                <w:szCs w:val="20"/>
              </w:rPr>
              <w:t xml:space="preserve">Hyperscalers</w:t>
            </w:r>
          </w:p>
        </w:tc>
        <w:tc>
          <w:tcPr>
            <w:tcW w:type="dxa" w:w="32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Secured multi-year GPU contracts; smaller buyers rationed</w:t>
            </w:r>
          </w:p>
        </w:tc>
        <w:tc>
          <w:tcPr>
            <w:tcW w:type="dxa" w:w="32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0"/>
                <w:szCs w:val="20"/>
              </w:rPr>
              <w:t xml:space="preserve">Compute is becoming a strategic moat, not just a cost center</w:t>
            </w:r>
          </w:p>
        </w:tc>
      </w:tr>
    </w:tbl>
    <w:p>
      <w:pPr>
        <w:spacing w:after="200"/>
      </w:pPr>
    </w:p>
    <w:p>
      <w:pPr>
        <w:pStyle w:val="Heading1"/>
        <w:spacing w:after="200" w:before="360"/>
      </w:pPr>
      <w:r>
        <w:rPr>
          <w:rFonts w:ascii="Arial" w:cs="Arial" w:eastAsia="Arial" w:hAnsi="Arial"/>
          <w:b/>
          <w:bCs/>
          <w:color w:val="1B4F72"/>
          <w:sz w:val="28"/>
          <w:szCs w:val="28"/>
        </w:rPr>
        <w:t xml:space="preserve">Why I Think This Demand Is Sustainable</w:t>
      </w:r>
    </w:p>
    <w:p>
      <w:pPr>
        <w:spacing w:after="200" w:line="276"/>
      </w:pPr>
      <w:r>
        <w:rPr>
          <w:rFonts w:ascii="Arial" w:cs="Arial" w:eastAsia="Arial" w:hAnsi="Arial"/>
          <w:color w:val="1C1C1C"/>
          <w:sz w:val="22"/>
          <w:szCs w:val="22"/>
        </w:rPr>
        <w:t xml:space="preserve">Here’s the key shift. In Phase 1, datacenters were buying chips on the expectation that customers would show up. That was the buildout phase. Now we’re in Phase 2, and the customers did show up. They showed up in such volume that OpenAI, Anthropic, and Google can’t serve them all. </w:t>
      </w:r>
      <w:r>
        <w:rPr>
          <w:rFonts w:ascii="Arial" w:cs="Arial" w:eastAsia="Arial" w:hAnsi="Arial"/>
          <w:b/>
          <w:bCs/>
          <w:color w:val="1C1C1C"/>
          <w:sz w:val="22"/>
          <w:szCs w:val="22"/>
        </w:rPr>
        <w:t xml:space="preserve">The demand from the consumer side is now outpacing what the datacenters can supply.</w:t>
      </w:r>
    </w:p>
    <w:p>
      <w:pPr>
        <w:spacing w:after="200" w:line="276"/>
      </w:pPr>
      <w:r>
        <w:rPr>
          <w:rFonts w:ascii="Arial" w:cs="Arial" w:eastAsia="Arial" w:hAnsi="Arial"/>
          <w:color w:val="1C1C1C"/>
          <w:sz w:val="22"/>
          <w:szCs w:val="22"/>
        </w:rPr>
        <w:t xml:space="preserve">That’s a sign of sustainability. When the providers who already bought billions of dollars worth of GPUs are still running out, it means the datacenters need to buy even more. The demand isn’t hypothetical anymore. It’s measurable, it’s growing, and it’s forcing real business decisions: killing products, rationing users, paywalling access. Consumer adoption is pulling the demand forward, and the infrastructure hasn’t caught up.</w:t>
      </w:r>
    </w:p>
    <w:p>
      <w:pPr>
        <w:pStyle w:val="Heading1"/>
        <w:spacing w:after="200" w:before="360"/>
      </w:pPr>
      <w:r>
        <w:rPr>
          <w:rFonts w:ascii="Arial" w:cs="Arial" w:eastAsia="Arial" w:hAnsi="Arial"/>
          <w:b/>
          <w:bCs/>
          <w:color w:val="1B4F72"/>
          <w:sz w:val="28"/>
          <w:szCs w:val="28"/>
        </w:rPr>
        <w:t xml:space="preserve">Where I See the Demand Going</w:t>
      </w:r>
    </w:p>
    <w:p>
      <w:pPr>
        <w:spacing w:after="200" w:line="276"/>
      </w:pPr>
      <w:r>
        <w:rPr>
          <w:rFonts w:ascii="Arial" w:cs="Arial" w:eastAsia="Arial" w:hAnsi="Arial"/>
          <w:color w:val="1C1C1C"/>
          <w:sz w:val="22"/>
          <w:szCs w:val="22"/>
        </w:rPr>
        <w:t xml:space="preserve">With those signals in mind, I’ve been thinking about where the demand actually flows. A few areas stand out.</w:t>
      </w:r>
    </w:p>
    <w:p>
      <w:pPr>
        <w:pStyle w:val="Heading2"/>
        <w:spacing w:after="120" w:before="240"/>
      </w:pPr>
      <w:r>
        <w:rPr>
          <w:rFonts w:ascii="Arial" w:cs="Arial" w:eastAsia="Arial" w:hAnsi="Arial"/>
          <w:b/>
          <w:bCs/>
          <w:color w:val="1B4F72"/>
          <w:sz w:val="24"/>
          <w:szCs w:val="24"/>
        </w:rPr>
        <w:t xml:space="preserve">GPU and AI Accelerator Makers</w:t>
      </w:r>
    </w:p>
    <w:p>
      <w:pPr>
        <w:spacing w:after="200" w:line="276"/>
      </w:pPr>
      <w:r>
        <w:rPr>
          <w:rFonts w:ascii="Arial" w:cs="Arial" w:eastAsia="Arial" w:hAnsi="Arial"/>
          <w:color w:val="1C1C1C"/>
          <w:sz w:val="22"/>
          <w:szCs w:val="22"/>
        </w:rPr>
        <w:t xml:space="preserve">NVIDIA is still the dominant supplier and Blackwell is pre-sold. AMD’s MI300 series and custom silicon programs (Google TPUs, Amazon Trainium, Microsoft Maia) are broadening the market, but none of them are alleviating the overall shortage. Anyone manufacturing, designing, or supplying critical components to the AI accelerator ecosystem is riding a demand curve that looks steep and durable.</w:t>
      </w:r>
    </w:p>
    <w:p>
      <w:pPr>
        <w:pStyle w:val="Heading2"/>
        <w:spacing w:after="120" w:before="240"/>
      </w:pPr>
      <w:r>
        <w:rPr>
          <w:rFonts w:ascii="Arial" w:cs="Arial" w:eastAsia="Arial" w:hAnsi="Arial"/>
          <w:b/>
          <w:bCs/>
          <w:color w:val="1B4F72"/>
          <w:sz w:val="24"/>
          <w:szCs w:val="24"/>
        </w:rPr>
        <w:t xml:space="preserve">Memory and Semiconductor Supply Chain</w:t>
      </w:r>
    </w:p>
    <w:p>
      <w:pPr>
        <w:spacing w:after="200" w:line="276"/>
      </w:pPr>
      <w:r>
        <w:rPr>
          <w:rFonts w:ascii="Arial" w:cs="Arial" w:eastAsia="Arial" w:hAnsi="Arial"/>
          <w:color w:val="1C1C1C"/>
          <w:sz w:val="22"/>
          <w:szCs w:val="22"/>
        </w:rPr>
        <w:t xml:space="preserve">High-bandwidth memory (HBM) might actually be the tightest bottleneck in the stack right now. Samsung, SK Hynix, and Micron are all capacity-constrained. DRAM lead times above twenty weeks tell you the shortage goes well beyond GPUs. Equipment makers like ASML, Applied Materials, and Lam Research are also in a strong position as fabs race to expand capacity.</w:t>
      </w:r>
    </w:p>
    <w:p>
      <w:pPr>
        <w:pStyle w:val="Heading2"/>
        <w:spacing w:after="120" w:before="240"/>
      </w:pPr>
      <w:r>
        <w:rPr>
          <w:rFonts w:ascii="Arial" w:cs="Arial" w:eastAsia="Arial" w:hAnsi="Arial"/>
          <w:b/>
          <w:bCs/>
          <w:color w:val="1B4F72"/>
          <w:sz w:val="24"/>
          <w:szCs w:val="24"/>
        </w:rPr>
        <w:t xml:space="preserve">Data Center Infrastructure and Power</w:t>
      </w:r>
    </w:p>
    <w:p>
      <w:pPr>
        <w:spacing w:after="200" w:line="276"/>
      </w:pPr>
      <w:r>
        <w:rPr>
          <w:rFonts w:ascii="Arial" w:cs="Arial" w:eastAsia="Arial" w:hAnsi="Arial"/>
          <w:color w:val="1C1C1C"/>
          <w:sz w:val="22"/>
          <w:szCs w:val="22"/>
        </w:rPr>
        <w:t xml:space="preserve">Every new GPU cluster needs physical space, cooling, and enormous amounts of electricity. Data center REITs and developers (Equinix, Digital Realty, QTS) are seeing record demand. The power requirements of modern AI training clusters are driving investment in grid infrastructure, utility-scale renewables, and even nuclear energy partnerships. I see this as a multi-decade buildout. Similar to what I found looking at SEI in the power space, the demand for behind-the-meter power solutions is only growing.</w:t>
      </w:r>
    </w:p>
    <w:p>
      <w:pPr>
        <w:pStyle w:val="Heading2"/>
        <w:spacing w:after="120" w:before="240"/>
      </w:pPr>
      <w:r>
        <w:rPr>
          <w:rFonts w:ascii="Arial" w:cs="Arial" w:eastAsia="Arial" w:hAnsi="Arial"/>
          <w:b/>
          <w:bCs/>
          <w:color w:val="1B4F72"/>
          <w:sz w:val="24"/>
          <w:szCs w:val="24"/>
        </w:rPr>
        <w:t xml:space="preserve">Cloud and Compute-as-a-Service</w:t>
      </w:r>
    </w:p>
    <w:p>
      <w:pPr>
        <w:spacing w:after="200" w:line="276"/>
      </w:pPr>
      <w:r>
        <w:rPr>
          <w:rFonts w:ascii="Arial" w:cs="Arial" w:eastAsia="Arial" w:hAnsi="Arial"/>
          <w:color w:val="1C1C1C"/>
          <w:sz w:val="22"/>
          <w:szCs w:val="22"/>
        </w:rPr>
        <w:t xml:space="preserve">As compute gets harder to buy outright, cloud providers with guaranteed GPU supply can charge premium prices. AWS, Azure, and GCP are all expanding AI-specific instance offerings. Smaller GPU-cloud companies like CoreWeave, Lambda, and Together AI are carving out high-growth niches by aggregating scarce hardware for AI workloads.</w:t>
      </w:r>
    </w:p>
    <w:p>
      <w:pPr>
        <w:pStyle w:val="Heading1"/>
        <w:spacing w:after="200" w:before="360"/>
      </w:pPr>
      <w:r>
        <w:rPr>
          <w:rFonts w:ascii="Arial" w:cs="Arial" w:eastAsia="Arial" w:hAnsi="Arial"/>
          <w:b/>
          <w:bCs/>
          <w:color w:val="1B4F72"/>
          <w:sz w:val="28"/>
          <w:szCs w:val="28"/>
        </w:rPr>
        <w:t xml:space="preserve">Conclusion</w:t>
      </w:r>
    </w:p>
    <w:p>
      <w:pPr>
        <w:spacing w:after="200" w:line="276"/>
      </w:pPr>
      <w:r>
        <w:rPr>
          <w:rFonts w:ascii="Arial" w:cs="Arial" w:eastAsia="Arial" w:hAnsi="Arial"/>
          <w:color w:val="1C1C1C"/>
          <w:sz w:val="22"/>
          <w:szCs w:val="22"/>
        </w:rPr>
        <w:t xml:space="preserve">Phase 1 was datacenters buying chips. Phase 2 is the customers of those datacenters demanding more than what’s available. That’s what we’re watching right now. OpenAI is killing products. Anthropic is rationing users. Google is paywalling access. These aren’t companies pulling back. These are companies that can’t build fast enough.</w:t>
      </w:r>
    </w:p>
    <w:p>
      <w:pPr>
        <w:spacing w:after="200" w:line="276"/>
      </w:pPr>
      <w:r>
        <w:rPr>
          <w:rFonts w:ascii="Arial" w:cs="Arial" w:eastAsia="Arial" w:hAnsi="Arial"/>
          <w:b/>
          <w:bCs/>
          <w:color w:val="1C1C1C"/>
          <w:sz w:val="22"/>
          <w:szCs w:val="22"/>
        </w:rPr>
        <w:t xml:space="preserve">Consumer demand is now pulling the infrastructure spend forward.</w:t>
      </w:r>
      <w:r>
        <w:rPr>
          <w:rFonts w:ascii="Arial" w:cs="Arial" w:eastAsia="Arial" w:hAnsi="Arial"/>
          <w:color w:val="1C1C1C"/>
          <w:sz w:val="22"/>
          <w:szCs w:val="22"/>
        </w:rPr>
        <w:t xml:space="preserve"> The datacenters need to buy more, and the supply chains that provision that compute (chips, memory, data centers, power, cloud services) are where I’m focused. I think we’re still in the early innings of this buildout, and the market may still be underpricing the scale of demand that’s now becoming visible.</w:t>
      </w:r>
    </w:p>
    <w:p>
      <w:pPr>
        <w:spacing w:after="200" w:line="276"/>
      </w:pPr>
      <w:r>
        <w:rPr>
          <w:rFonts w:ascii="Arial" w:cs="Arial" w:eastAsia="Arial" w:hAnsi="Arial"/>
          <w:color w:val="1C1C1C"/>
          <w:sz w:val="22"/>
          <w:szCs w:val="22"/>
        </w:rPr>
        <w:t xml:space="preserve">Drew</w:t>
      </w:r>
    </w:p>
    <w:p>
      <w:r>
        <w:br w:type="page"/>
      </w:r>
    </w:p>
    <w:p>
      <w:pPr>
        <w:pStyle w:val="Heading1"/>
        <w:spacing w:after="200" w:before="360"/>
      </w:pPr>
      <w:r>
        <w:rPr>
          <w:rFonts w:ascii="Arial" w:cs="Arial" w:eastAsia="Arial" w:hAnsi="Arial"/>
          <w:b/>
          <w:bCs/>
          <w:color w:val="1B4F72"/>
          <w:sz w:val="28"/>
          <w:szCs w:val="28"/>
        </w:rPr>
        <w:t xml:space="preserve">Sources</w:t>
      </w:r>
    </w:p>
    <w:p>
      <w:pPr>
        <w:spacing w:after="200" w:line="276"/>
      </w:pPr>
      <w:r>
        <w:rPr>
          <w:rFonts w:ascii="Arial" w:cs="Arial" w:eastAsia="Arial" w:hAnsi="Arial"/>
          <w:b/>
          <w:bCs/>
          <w:i/>
          <w:iCs/>
          <w:color w:val="1C1C1C"/>
          <w:sz w:val="22"/>
          <w:szCs w:val="22"/>
        </w:rPr>
        <w:t xml:space="preserve">OpenAI / Sora Discontinuation</w:t>
      </w:r>
    </w:p>
    <w:p>
      <w:pPr>
        <w:pStyle w:val="ListParagraph"/>
        <w:numPr>
          <w:ilvl w:val="0"/>
          <w:numId w:val="2"/>
        </w:numPr>
        <w:spacing w:after="80" w:line="276"/>
      </w:pPr>
      <w:hyperlink w:history="1" r:id="rIdoag8d3wo07_kozidufwb-">
        <w:r>
          <w:rPr>
            <w:rFonts w:ascii="Arial" w:cs="Arial" w:eastAsia="Arial" w:hAnsi="Arial"/>
            <w:color w:val="2E75B6"/>
            <w:sz w:val="20"/>
            <w:szCs w:val="20"/>
            <w:u w:val="single"/>
          </w:rPr>
          <w:t xml:space="preserve">Bloomberg – OpenAI Plans to Discontinue Sora</w:t>
        </w:r>
      </w:hyperlink>
    </w:p>
    <w:p>
      <w:pPr>
        <w:pStyle w:val="ListParagraph"/>
        <w:numPr>
          <w:ilvl w:val="0"/>
          <w:numId w:val="2"/>
        </w:numPr>
        <w:spacing w:after="80" w:line="276"/>
      </w:pPr>
      <w:hyperlink w:history="1" r:id="rId-1e9vdegcxbnaroc1dkm0">
        <w:r>
          <w:rPr>
            <w:rFonts w:ascii="Arial" w:cs="Arial" w:eastAsia="Arial" w:hAnsi="Arial"/>
            <w:color w:val="2E75B6"/>
            <w:sz w:val="20"/>
            <w:szCs w:val="20"/>
            <w:u w:val="single"/>
          </w:rPr>
          <w:t xml:space="preserve">TechCrunch – Why OpenAI Really Shut Down Sora</w:t>
        </w:r>
      </w:hyperlink>
    </w:p>
    <w:p>
      <w:pPr>
        <w:pStyle w:val="ListParagraph"/>
        <w:numPr>
          <w:ilvl w:val="0"/>
          <w:numId w:val="2"/>
        </w:numPr>
        <w:spacing w:after="80" w:line="276"/>
      </w:pPr>
      <w:hyperlink w:history="1" r:id="rIdplgc_ddfbtbf0mjnkpo_4">
        <w:r>
          <w:rPr>
            <w:rFonts w:ascii="Arial" w:cs="Arial" w:eastAsia="Arial" w:hAnsi="Arial"/>
            <w:color w:val="2E75B6"/>
            <w:sz w:val="20"/>
            <w:szCs w:val="20"/>
            <w:u w:val="single"/>
          </w:rPr>
          <w:t xml:space="preserve">Variety – OpenAI Shuts Down Sora; Disney Drops $1B Investment</w:t>
        </w:r>
      </w:hyperlink>
    </w:p>
    <w:p>
      <w:pPr>
        <w:spacing w:after="200" w:line="276"/>
      </w:pPr>
      <w:r>
        <w:rPr>
          <w:rFonts w:ascii="Arial" w:cs="Arial" w:eastAsia="Arial" w:hAnsi="Arial"/>
          <w:b/>
          <w:bCs/>
          <w:i/>
          <w:iCs/>
          <w:color w:val="1C1C1C"/>
          <w:sz w:val="22"/>
          <w:szCs w:val="22"/>
        </w:rPr>
        <w:t xml:space="preserve">Anthropic / Claude Usage Limits</w:t>
      </w:r>
    </w:p>
    <w:p>
      <w:pPr>
        <w:pStyle w:val="ListParagraph"/>
        <w:numPr>
          <w:ilvl w:val="0"/>
          <w:numId w:val="2"/>
        </w:numPr>
        <w:spacing w:after="80" w:line="276"/>
      </w:pPr>
      <w:hyperlink w:history="1" r:id="rIdximwff8rn4r2gitmr2045">
        <w:r>
          <w:rPr>
            <w:rFonts w:ascii="Arial" w:cs="Arial" w:eastAsia="Arial" w:hAnsi="Arial"/>
            <w:color w:val="2E75B6"/>
            <w:sz w:val="20"/>
            <w:szCs w:val="20"/>
            <w:u w:val="single"/>
          </w:rPr>
          <w:t xml:space="preserve">The Register – Anthropic Tweaks Claude Usage Limits</w:t>
        </w:r>
      </w:hyperlink>
    </w:p>
    <w:p>
      <w:pPr>
        <w:pStyle w:val="ListParagraph"/>
        <w:numPr>
          <w:ilvl w:val="0"/>
          <w:numId w:val="2"/>
        </w:numPr>
        <w:spacing w:after="80" w:line="276"/>
      </w:pPr>
      <w:hyperlink w:history="1" r:id="rIdj1y_oe8txqqje2neoewyf">
        <w:r>
          <w:rPr>
            <w:rFonts w:ascii="Arial" w:cs="Arial" w:eastAsia="Arial" w:hAnsi="Arial"/>
            <w:color w:val="2E75B6"/>
            <w:sz w:val="20"/>
            <w:szCs w:val="20"/>
            <w:u w:val="single"/>
          </w:rPr>
          <w:t xml:space="preserve">gHacks – Anthropic Reduces Claude Session Limits During Peak Hours</w:t>
        </w:r>
      </w:hyperlink>
    </w:p>
    <w:p>
      <w:pPr>
        <w:pStyle w:val="ListParagraph"/>
        <w:numPr>
          <w:ilvl w:val="0"/>
          <w:numId w:val="2"/>
        </w:numPr>
        <w:spacing w:after="80" w:line="276"/>
      </w:pPr>
      <w:hyperlink w:history="1" r:id="rIdabs3hwmg5rycja_jwzn_y">
        <w:r>
          <w:rPr>
            <w:rFonts w:ascii="Arial" w:cs="Arial" w:eastAsia="Arial" w:hAnsi="Arial"/>
            <w:color w:val="2E75B6"/>
            <w:sz w:val="20"/>
            <w:szCs w:val="20"/>
            <w:u w:val="single"/>
          </w:rPr>
          <w:t xml:space="preserve">MLQ – Anthropic Ends Paid Access for Claude in Third-Party Tools</w:t>
        </w:r>
      </w:hyperlink>
    </w:p>
    <w:p>
      <w:pPr>
        <w:spacing w:after="200" w:line="276"/>
      </w:pPr>
      <w:r>
        <w:rPr>
          <w:rFonts w:ascii="Arial" w:cs="Arial" w:eastAsia="Arial" w:hAnsi="Arial"/>
          <w:b/>
          <w:bCs/>
          <w:i/>
          <w:iCs/>
          <w:color w:val="1C1C1C"/>
          <w:sz w:val="22"/>
          <w:szCs w:val="22"/>
        </w:rPr>
        <w:t xml:space="preserve">Google / Gemini Free Tier Changes</w:t>
      </w:r>
    </w:p>
    <w:p>
      <w:pPr>
        <w:pStyle w:val="ListParagraph"/>
        <w:numPr>
          <w:ilvl w:val="0"/>
          <w:numId w:val="2"/>
        </w:numPr>
        <w:spacing w:after="80" w:line="276"/>
      </w:pPr>
      <w:hyperlink w:history="1" r:id="rIdogevcjfuo75ltskkbjcjh">
        <w:r>
          <w:rPr>
            <w:rFonts w:ascii="Arial" w:cs="Arial" w:eastAsia="Arial" w:hAnsi="Arial"/>
            <w:color w:val="2E75B6"/>
            <w:sz w:val="20"/>
            <w:szCs w:val="20"/>
            <w:u w:val="single"/>
          </w:rPr>
          <w:t xml:space="preserve">Quasa.io – Google’s Gemini API Free Tier Fiasco</w:t>
        </w:r>
      </w:hyperlink>
    </w:p>
    <w:p>
      <w:pPr>
        <w:pStyle w:val="ListParagraph"/>
        <w:numPr>
          <w:ilvl w:val="0"/>
          <w:numId w:val="2"/>
        </w:numPr>
        <w:spacing w:after="80" w:line="276"/>
      </w:pPr>
      <w:hyperlink w:history="1" r:id="rIdeuckakeb1lyglsfg8xxpw">
        <w:r>
          <w:rPr>
            <w:rFonts w:ascii="Arial" w:cs="Arial" w:eastAsia="Arial" w:hAnsi="Arial"/>
            <w:color w:val="2E75B6"/>
            <w:sz w:val="20"/>
            <w:szCs w:val="20"/>
            <w:u w:val="single"/>
          </w:rPr>
          <w:t xml:space="preserve">LaoZhang AI – Gemini Billing Tier Changes 2026</w:t>
        </w:r>
      </w:hyperlink>
    </w:p>
    <w:p>
      <w:pPr>
        <w:spacing w:after="200" w:line="276"/>
      </w:pPr>
      <w:r>
        <w:rPr>
          <w:rFonts w:ascii="Arial" w:cs="Arial" w:eastAsia="Arial" w:hAnsi="Arial"/>
          <w:b/>
          <w:bCs/>
          <w:i/>
          <w:iCs/>
          <w:color w:val="1C1C1C"/>
          <w:sz w:val="22"/>
          <w:szCs w:val="22"/>
        </w:rPr>
        <w:t xml:space="preserve">AI Compute Market &amp; Supply Chain</w:t>
      </w:r>
    </w:p>
    <w:p>
      <w:pPr>
        <w:pStyle w:val="ListParagraph"/>
        <w:numPr>
          <w:ilvl w:val="0"/>
          <w:numId w:val="2"/>
        </w:numPr>
        <w:spacing w:after="80" w:line="276"/>
      </w:pPr>
      <w:hyperlink w:history="1" r:id="rIdmy7qsjowrss1h8gjbbwfc">
        <w:r>
          <w:rPr>
            <w:rFonts w:ascii="Arial" w:cs="Arial" w:eastAsia="Arial" w:hAnsi="Arial"/>
            <w:color w:val="2E75B6"/>
            <w:sz w:val="20"/>
            <w:szCs w:val="20"/>
            <w:u w:val="single"/>
          </w:rPr>
          <w:t xml:space="preserve">Geeky Gadgets – AI Compute Shortage 2026</w:t>
        </w:r>
      </w:hyperlink>
    </w:p>
    <w:p>
      <w:pPr>
        <w:pStyle w:val="ListParagraph"/>
        <w:numPr>
          <w:ilvl w:val="0"/>
          <w:numId w:val="2"/>
        </w:numPr>
        <w:spacing w:after="80" w:line="276"/>
      </w:pPr>
      <w:hyperlink w:history="1" r:id="rIdfoacp2q0xwkggpkcwgeiu">
        <w:r>
          <w:rPr>
            <w:rFonts w:ascii="Arial" w:cs="Arial" w:eastAsia="Arial" w:hAnsi="Arial"/>
            <w:color w:val="2E75B6"/>
            <w:sz w:val="20"/>
            <w:szCs w:val="20"/>
            <w:u w:val="single"/>
          </w:rPr>
          <w:t xml:space="preserve">Clarifai – GPU Shortages: How the AI Compute Crunch Is Reshaping Infrastructure</w:t>
        </w:r>
      </w:hyperlink>
    </w:p>
    <w:p>
      <w:pPr>
        <w:pStyle w:val="ListParagraph"/>
        <w:numPr>
          <w:ilvl w:val="0"/>
          <w:numId w:val="2"/>
        </w:numPr>
        <w:spacing w:after="80" w:line="276"/>
      </w:pPr>
      <w:hyperlink w:history="1" r:id="rIdtuus7znizh5qf9nceye20">
        <w:r>
          <w:rPr>
            <w:rFonts w:ascii="Arial" w:cs="Arial" w:eastAsia="Arial" w:hAnsi="Arial"/>
            <w:color w:val="2E75B6"/>
            <w:sz w:val="20"/>
            <w:szCs w:val="20"/>
            <w:u w:val="single"/>
          </w:rPr>
          <w:t xml:space="preserve">SemiAnalysis – The Great AI Silicon Shortage</w:t>
        </w:r>
      </w:hyperlink>
    </w:p>
    <w:p>
      <w:pPr>
        <w:pStyle w:val="ListParagraph"/>
        <w:numPr>
          <w:ilvl w:val="0"/>
          <w:numId w:val="2"/>
        </w:numPr>
        <w:spacing w:after="80" w:line="276"/>
      </w:pPr>
      <w:hyperlink w:history="1" r:id="rIdsfzzh-4hxsebeozkqpxam">
        <w:r>
          <w:rPr>
            <w:rFonts w:ascii="Arial" w:cs="Arial" w:eastAsia="Arial" w:hAnsi="Arial"/>
            <w:color w:val="2E75B6"/>
            <w:sz w:val="20"/>
            <w:szCs w:val="20"/>
            <w:u w:val="single"/>
          </w:rPr>
          <w:t xml:space="preserve">Bain &amp; Company – How Can We Meet AI’s Insatiable Demand for Compute Power?</w:t>
        </w:r>
      </w:hyperlink>
    </w:p>
    <w:p>
      <w:pPr>
        <w:spacing w:after="200"/>
      </w:pPr>
    </w:p>
    <w:p>
      <w:pPr>
        <w:pBdr>
          <w:top w:val="single" w:color="CCCCCC" w:sz="4" w:space="1"/>
        </w:pBdr>
        <w:spacing w:before="200"/>
        <w:jc w:val="center"/>
      </w:pPr>
      <w:r>
        <w:rPr>
          <w:rFonts w:ascii="Arial" w:cs="Arial" w:eastAsia="Arial" w:hAnsi="Arial"/>
          <w:i/>
          <w:iCs/>
          <w:color w:val="999999"/>
          <w:sz w:val="18"/>
          <w:szCs w:val="18"/>
        </w:rPr>
        <w:t xml:space="preserve">Disclaimer: This post reflects personal observations and publicly available information. It is not financial advice. Always conduct your own due diligence before making investment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tabs>
        <w:tab w:val="right" w:pos="9026"/>
      </w:tabs>
      <w:spacing w:after="0"/>
      <w:jc w:val="left"/>
    </w:pPr>
    <w:r>
      <w:rPr>
        <w:rFonts w:ascii="Arial" w:cs="Arial" w:eastAsia="Arial" w:hAnsi="Arial"/>
        <w:color w:val="666666"/>
        <w:sz w:val="18"/>
        <w:szCs w:val="18"/>
      </w:rPr>
      <w:t xml:space="preserve">Investment Thesis  |  AI Infrastructure &amp; Compute Demand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ag8d3wo07_kozidufwb-" Type="http://schemas.openxmlformats.org/officeDocument/2006/relationships/hyperlink" Target="https://www.bloomberg.com/news/articles/2026-03-24/openai-plans-to-discontinue-support-for-sora-ai-video-generator" TargetMode="External"/><Relationship Id="rId-1e9vdegcxbnaroc1dkm0" Type="http://schemas.openxmlformats.org/officeDocument/2006/relationships/hyperlink" Target="https://techcrunch.com/2026/03/29/why-openai-really-shut-down-sora/" TargetMode="External"/><Relationship Id="rIdplgc_ddfbtbf0mjnkpo_4" Type="http://schemas.openxmlformats.org/officeDocument/2006/relationships/hyperlink" Target="https://variety.com/2026/digital/news/openai-shutting-down-sora-video-disney-1236698277/" TargetMode="External"/><Relationship Id="rIdximwff8rn4r2gitmr2045" Type="http://schemas.openxmlformats.org/officeDocument/2006/relationships/hyperlink" Target="https://www.theregister.com/2026/03/26/anthropic_tweaks_usage_limits/" TargetMode="External"/><Relationship Id="rIdj1y_oe8txqqje2neoewyf" Type="http://schemas.openxmlformats.org/officeDocument/2006/relationships/hyperlink" Target="https://www.ghacks.net/2026/03/27/anthropic-reduces-claude-session-limits-during-peak-hours-for-free-pro-and-max-users/" TargetMode="External"/><Relationship Id="rIdabs3hwmg5rycja_jwzn_y" Type="http://schemas.openxmlformats.org/officeDocument/2006/relationships/hyperlink" Target="https://mlq.ai/news/anthropic-ends-paid-access-for-claude-in-third-party-tools-like-openclaw/" TargetMode="External"/><Relationship Id="rIdogevcjfuo75ltskkbjcjh" Type="http://schemas.openxmlformats.org/officeDocument/2006/relationships/hyperlink" Target="https://quasa.io/media/google-s-gemini-api-free-tier-fiasco-developers-hit-by-silent-rate-limit-purge" TargetMode="External"/><Relationship Id="rIdeuckakeb1lyglsfg8xxpw" Type="http://schemas.openxmlformats.org/officeDocument/2006/relationships/hyperlink" Target="https://blog.laozhang.ai/en/posts/google-gemini-billing-tier-policy-changes" TargetMode="External"/><Relationship Id="rIdmy7qsjowrss1h8gjbbwfc" Type="http://schemas.openxmlformats.org/officeDocument/2006/relationships/hyperlink" Target="https://www.geeky-gadgets.com/gpu-hbm-supply/" TargetMode="External"/><Relationship Id="rIdfoacp2q0xwkggpkcwgeiu" Type="http://schemas.openxmlformats.org/officeDocument/2006/relationships/hyperlink" Target="https://www.clarifai.com/blog/gpu-shortages-2026" TargetMode="External"/><Relationship Id="rIdtuus7znizh5qf9nceye20" Type="http://schemas.openxmlformats.org/officeDocument/2006/relationships/hyperlink" Target="https://newsletter.semianalysis.com/p/the-great-ai-silicon-shortage" TargetMode="External"/><Relationship Id="rIdsfzzh-4hxsebeozkqpxam" Type="http://schemas.openxmlformats.org/officeDocument/2006/relationships/hyperlink" Target="https://www.bain.com/insights/how-can-we-meet-ais-insatiable-demand-for-compute-power-technology-report-2025/"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2026-04-06T22:14:30.528Z</dcterms:created>
  <dcterms:modified xsi:type="dcterms:W3CDTF">2026-04-06T22:14:30.528Z</dcterms:modified>
</cp:coreProperties>
</file>

<file path=docProps/custom.xml><?xml version="1.0" encoding="utf-8"?>
<Properties xmlns="http://schemas.openxmlformats.org/officeDocument/2006/custom-properties" xmlns:vt="http://schemas.openxmlformats.org/officeDocument/2006/docPropsVTypes"/>
</file>