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Cost-Aware Hybrid Routing for Intent Classification: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74% LLM Cost Reduction at Equal Accuracy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Bo-Yu Chen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University of Texas at San Antonio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color w:val="0072B2"/>
          <w:sz w:val="20"/>
          <w:szCs w:val="20"/>
        </w:rPr>
        <w:t xml:space="preserve">boyu.chen@my.utsa.edu</w:t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Abstract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Routing user utterances to the correct task agent is a foundational step in multi-agent LLM systems, and the LLM-as-router pattern has become the default for its accuracy. We ask whether that accuracy is worth its cost. On the CLINC150 benchmark (150 intents mapped to 7 agents + OOS), we compare four routers spanning a 3-order-of-magnitude cost range: (R1) keyword, (R2) embedding-nearest-centroid, (R3) Claude Haiku 4.5 LLM-only, and (R4) a hybrid cascade that uses R1/R2 as a confidence-gated pre-filter and escalates to R3 only when low-confidence. Across 3 seeds of 400 stratified queries (1,200 pooled), R4 achieves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82.6% ± 1.2pp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accuracy versus R3's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82.9% ± 0.6pp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statistically indistinguishable by McNemar paired test (p &gt; 0.37, overlapping Wilson 95% CIs) — while escalating to the LLM on only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26.1%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of queries, yielding a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74.3% reduction in LLM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The main trade-off is OOS accuracy, where cheap stages cannot reliably refuse to classify. We release code, tuned thresholds, and per-seed trajectories.</w:t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Introduction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In production multi-agent LLM systems, every user utterance first visits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router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a component that decides which downstream agent — finance, HR, travel, and so on — should handle the request. The industry default is to use a small LLM such as Claude Haiku or GPT-4o-mini as the router, prompted with the agent inventory and a JSON-output instruction. This pattern is convenient, robust to paraphrase, and the accepted baseline in frameworks like CrewAI, LangGraph, and AutoGen. It is also expensive: at production scale, every single user turn incurs an LLM API call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before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 real work begins, and that per-turn cost compounds across thousands of daily conversations.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question this paper asks is whether that per-turn LLM call is actually necessary. A keyword match or an embedding lookup against per-agent centroids costs three to four orders of magnitude less than an API call, runs on local compute with millisecond latency, and — on easy queries — can be just as accurate as the LLM. If we can identify the easy queries with a cheap confidence signal and only invoke the LLM on the hard ones, the economics change substantially. We quantify this on CLINC150, a standard 150-intent benchmark, by comparing four routers across a three-order-of-magnitude cost spectrum and measuring the accuracy–cost Pareto frontier.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contributions are four-fold. First, we evaluate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four routers under identical protocol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keyword (R1), embedding-nearest-centroid (R2), Claude Haiku 4.5 LLM-only (R3), and a hybrid cascade (R4) that uses R1 and R2 as confidence-gated pre-filters before escalating to R3. Second, we run a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3-seed paper-grade evaluation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on a 400-query stratified subsample per seed (seeds 42, 43, 44; 1,200 pooled), reporting Wilson 95% confidence intervals and McNemar paired tests comparing R3 and R4 on the same queries. Third, we report the empirical finding that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R4 matches R3 accuracy within 0.4pp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(82.6% vs 82.9%) while escalating to the LLM on only 26% of queries — a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74.3% reduction in LLM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no statistically significant accuracy loss at α=0.05. Fourth, we release code, tuned thresholds, per-seed trajectories, and full API call logs under an MIT license.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remainder of the paper is organised as follows. §2 positions this work against intent-classification and LLM-cascade literature. §3 describes the four routers and the threshold-tuning protocol. §4 presents 3-seed results with significance tests and qualitative examples. §5 discusses when cascades pay off, limitations, and the extension to multi-turn agent tasks that we pursue in companion work.</w:t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Related Work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Intent classification on CLINC150.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 CLINC150 benchmark (Larson et al. 2019) comprises 150 in-domain intents across 10 domains plus an out-of-scope (OOS) class, and was explicitly designed to stress-test intent classifiers under distribution shift. Strong baselines include SetFit (Tunstall et al. 2022), which uses contrastive few-shot fine-tuning on sentence-transformer encoders, and fine-tuned DeBERTa. We use SetFit as a no-LLM baseline in our headline table (70.2% on the full test set), and Claude Haiku 4.5 zero-shot as our cost ceiling.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Cost-aware LLM cascades.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FrugalGPT (Chen et al. 2023) introduced the general cascade pattern — try a cheaper model first, escalate to a more expensive model only when the cheap model’s confidence is low — on single-turn question answering tasks, reporting cost reductions of up to 98% at matched accuracy. Subsequent work has extended cascades to summarisation, code generation, and retrieval-augmented QA. We adapt this pattern to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agent routing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 narrower but extremely high-frequency task: every user turn in a multi-agent system is routed, so savings compound multiplicatively.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Agent-routing systems.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Most current multi-agent frameworks (CrewAI, LangGraph, AutoGen) default to an LLM supervisor for intent routing. Some production systems layer a keyword or regex pre-filter before the LLM, but there is no published empirical study quantifying how much of this workload can be handled without an LLM, at what accuracy cost, on a standard benchmark. Our contribution is not a new routing algorithm; it is the empirical answer — on CLINC150 — to the question “what fraction of routing decisions can a keyword or embedding handle, and what does the accuracy–cost Pareto curve look like?”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Position.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We are not arguing against LLM routers; we are arguing for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pre-filtering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 easy queries before the LLM sees them. The practical contribution is a production template with measured savings and a reproducible threshold-tuning recipe.</w:t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Method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 Dataset and Label Space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use the CLINC150 test split (5,500 queries, including 1,000 OOS queries). Following a typical production agent-inventory setup, we collapse the 150 fine-grained intents into 7 task-level agents (auto, device, finance, kitchen, meta, productivity, travel) plus the OOS class, giving the router an 8-way decision problem with realistic domain granularity. Class sizes after collapsing range from 360 to 1,140 queries.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 The Four Routers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R1 — Keyword router.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each target agent, we construct a per-agent keyword list from the training-set intent names and a small set of common synonyms. The score for a query is the sum of matched keyword weights, and the predicted label is the argmax over agents. We report the raw keyword score as R1’s confidence.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R2 — Embedding router.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We encode the training set with sentence-transformers/all-mpnet-base-v2 (768d), then compute a per-agent centroid as the L2-normalised mean of the training embeddings for that agent. At inference, a query’s embedding is compared to all centroids by cosine similarity, and the nearest-centroid agent is returned. R2’s confidence is the cosine similarity to the top-1 centroid.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R3 — LLM router.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Claude Haiku 4.5 (claude-haiku-4-5-20251001) with a short system prompt listing the 8 target agents and a description of each. The model is asked to return a single JSON object. Temperature is 0. Each query is a single API call with no in-context examples.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R4 — Hybrid cascade.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R4 is a confidence-gated cascade over R1 → R2 → R3 with two thresholds (kt, et). If R1_confidence ≥ kt, return R1’s prediction; else if R2_confidence ≥ et, return R2’s prediction; otherwise call R3 (LLM). We refer to this full cascade as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R4+LLM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also report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R4 no-LLM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the same cascade with the LLM escalation branch replaced by R2’s best guess — as a fair no-API baseline.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 Threshold Tuning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Thresholds are tuned on the CLINC150 validation split (3,100 queries, disjoint from the test set) via grid search over kt ∈ {0.5, 1.0, 1.5, 2.0} and et ∈ {0.05, 0.08, 0.10, 0.15}. For R4+LLM, we select the configuration that minimises LLM call rate subject to expected accuracy ≥ 88% on validation — a constraint-based objective that prefers cost savings when accuracy is above a practitioner-chosen floor. The tuned values are kt = 0.5, et = 0.10 (22.7% LLM call rate on validation). We report a sensitivity analysis over the cost penalty α in §4.5, showing how the optimal operating point shifts across the Pareto frontier.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3.4 Evaluation Protocol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LLM evaluation runs use a per-seed stratified subsample of n = 400 (50 queries per class × 8 classes) to bound API spend. We use 3 seeds (42, 43, 44) for paper-grade variance estimation. For each seed we report per-seed accuracy, Wilson 95% confidence intervals (pooled n = 1,200), and a McNemar exact-binomial paired test comparing R3 and R4 on identical queries. Deterministic routers (R1, R2, R4 no-LLM, SetFit) are evaluated on the full test set (n = 5,500) since they incur no API cost.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3.5 Cost Accounting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R3 and R4 API costs are measured directly from Anthropic response metadata (input + output tokens × Haiku 4.5 pricing). R1, R2, R4 no-LLM, and SetFit are amortised to essentially zero cost (local compute, milliseconds per query). The total API cost for the full 3-seed experiment was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$0.44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$0.35 for R3 (1,200 queries × 3 seeds) and $0.09 for R4+LLM.</w:t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Results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 Main Results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Table 1 shows the headline numbers across all routers.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Table 1.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 Main results on CLINC150. Bold rows are the primary comparison (LLM-based routers).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1500"/>
        <w:gridCol w:w="1400"/>
        <w:gridCol w:w="1100"/>
        <w:gridCol w:w="1360"/>
      </w:tblGrid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4F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Router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4F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Acc.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4F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Wilson CI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4F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LLM rate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4F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Cost/q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R1 keyword (n=5,500)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64.8%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0%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~$0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R2 embedding (n=5,500)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74.0%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0%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~$0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SetFit baseline (n=5,500)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70.2%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0%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~$0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R4 no-LLM (n=5,500)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74.9%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0%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~$0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R3 LLM-only (n=1,200)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82.9%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[80.7, 84.9]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$2.93×10⁻⁴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R4 hybrid+LLM (n=1,200)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82.6%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[80.3, 84.6]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26.1%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$7.52×10⁻⁵</w:t>
            </w:r>
          </w:p>
        </w:tc>
      </w:tr>
    </w:tbl>
    <w:p>
      <w:pPr>
        <w:spacing w:after="120" w:before="0" w:line="276"/>
        <w:jc w:val="both"/>
      </w:pPr>
    </w:p>
    <w:p>
      <w:pPr>
        <w:spacing w:after="80" w:before="200"/>
        <w:jc w:val="center"/>
      </w:pPr>
      <w:r>
        <w:drawing>
          <wp:inline distT="0" distB="0" distL="0" distR="0">
            <wp:extent cx="4953000" cy="3619500"/>
            <wp:effectExtent t="0" r="0" b="0" l="0"/>
            <wp:docPr id="1" name="F1_accuracy_vs_llm_rate.png" descr="Figure 1. Cost-accuracy trade-off on CLINC150. R4+LLM (blue) sits at the left of R3 (red) on the Pareto frontier: same accuracy, 74% fewer LLM calls. Gray dots are baselines." title="F1_accuracy_vs_llm_r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Figure 1. Cost-accuracy trade-off on CLINC150. R4+LLM (blue) sits at the left of R3 (red) on the Pareto frontier: same accuracy, 74% fewer LLM calls. Gray dots are baselines.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 Statistical Significance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McNemar paired exact-binomial tests on R3 vs R4+LLM, per seed (n = 400 each):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Table 2.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 McNemar paired tests per seed.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500"/>
        <w:gridCol w:w="2560"/>
      </w:tblGrid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4F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Seed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4F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Δ accuracy (R4−R3)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4F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McNemar p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4F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Sig. at α=0.05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+0.00 pp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1.000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43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−1.75 pp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0.371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44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+0.75 pp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0.755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20" w:before="0" w:line="276"/>
        <w:jc w:val="both"/>
      </w:pP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Across all three seeds the difference is not significant. The Wilson 95% confidence intervals also overlap substantially — R3: [80.7%, 84.9%] vs R4: [80.3%, 84.6%] — corroborating the absence of a significant accuracy difference. R4+LLM is statistically indistinguishable from R3.</w:t>
      </w:r>
    </w:p>
    <w:p>
      <w:pPr>
        <w:spacing w:after="80" w:before="200"/>
        <w:jc w:val="center"/>
      </w:pPr>
      <w:r>
        <w:drawing>
          <wp:inline distT="0" distB="0" distL="0" distR="0">
            <wp:extent cx="4953000" cy="3429000"/>
            <wp:effectExtent t="0" r="0" b="0" l="0"/>
            <wp:docPr id="1" name="F2_per_seed_bars.png" descr="Figure 2. Per-seed comparison. Each seed’s R3 and R4+LLM score on the same 400 queries; connecting lines show paired deltas. R4 loses on seed 43 (−1.8pp) and wins slightly on 44 (+0.8pp)." title="F2_per_seed_ba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Figure 2. Per-seed comparison. Each seed’s R3 and R4+LLM score on the same 400 queries; connecting lines show paired deltas. R4 loses on seed 43 (−1.8pp) and wins slightly on 44 (+0.8pp).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4.3 Cost Savings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Per-seed, R3 LLM-only costs $0.117 in API usage (400 calls × Haiku 4.5 pricing), while R4+LLM costs $0.030 (≈105 escalated calls). The mean LLM call rate for R4+LLM across seeds is 26.1% ± 1.7pp, yielding an overall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LLM cost reduction of 74.3%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against R3. Projected to 1,000 queries, R4+LLM costs $0.075 versus R3’s $0.293 — a saving of $0.22 per 1,000 queries that scales linearly.</w:t>
      </w:r>
    </w:p>
    <w:p>
      <w:pPr>
        <w:spacing w:after="80" w:before="200"/>
        <w:jc w:val="center"/>
      </w:pPr>
      <w:r>
        <w:drawing>
          <wp:inline distT="0" distB="0" distL="0" distR="0">
            <wp:extent cx="4953000" cy="2857500"/>
            <wp:effectExtent t="0" r="0" b="0" l="0"/>
            <wp:docPr id="1" name="F4_cost_bars.png" descr="Figure 3. LLM API cost per 1,000 queries. R4 hybrid+LLM ($0.075) is 74% cheaper than R3 LLM-only ($0.293) at statistically equivalent accuracy." title="F4_cost_ba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Figure 3. LLM API cost per 1,000 queries. R4 hybrid+LLM ($0.075) is 74% cheaper than R3 LLM-only ($0.293) at statistically equivalent accuracy.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4.4 Qualitative Analysis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three cascade stages partition the seed-42 query distribution as: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59.3% stop at R1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(11.0% error),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17.0% stop at R2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(16.2% error),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23.8% escalate to R3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R2 processes harder queries than R1, explaining its higher error rate. The most revealing finding is the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device agent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R1 misclassifies 22.2% of its stops (polysemous tokens like “call” and “alarm”), but R2 recovers with only 4.3% error — embedding similarity correctly disambiguates commands that keywords cannot. OOS remains the weakest link: all 7 R1-stopped OOS queries and 5 of 9 R2-stopped OOS queries are wrong, confirming that a dedicated OOS detector would be the highest-impact improvement.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Table 3.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 Per-stage error rate and escalation rate by agent (seed 42, n=400).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1200"/>
        <w:gridCol w:w="1200"/>
        <w:gridCol w:w="1200"/>
        <w:gridCol w:w="1100"/>
        <w:gridCol w:w="1860"/>
      </w:tblGrid>
      <w:tr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4F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Agent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4F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R1 (n)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4F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R1-err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4F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R2 (n)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4F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R2-err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4F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Esc%</w:t>
            </w:r>
          </w:p>
        </w:tc>
        <w:tc>
          <w:tcPr>
            <w:tcW w:type="dxa" w:w="1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4F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Interpretation</w:t>
            </w:r>
          </w:p>
        </w:tc>
      </w:tr>
      <w:tr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finance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49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4.1%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2.0%</w:t>
            </w:r>
          </w:p>
        </w:tc>
        <w:tc>
          <w:tcPr>
            <w:tcW w:type="dxa" w:w="1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Easiest</w:t>
            </w:r>
          </w:p>
        </w:tc>
      </w:tr>
      <w:tr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auto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2.2%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0.0%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8.0%</w:t>
            </w:r>
          </w:p>
        </w:tc>
        <w:tc>
          <w:tcPr>
            <w:tcW w:type="dxa" w:w="1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Strong keyword anchors</w:t>
            </w:r>
          </w:p>
        </w:tc>
      </w:tr>
      <w:tr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kitchen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13.3%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8.3%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16.0%</w:t>
            </w:r>
          </w:p>
        </w:tc>
        <w:tc>
          <w:tcPr>
            <w:tcW w:type="dxa" w:w="1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R2 catches R1 misses</w:t>
            </w:r>
          </w:p>
        </w:tc>
      </w:tr>
      <w:tr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device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22.2%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4.3%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18.0%</w:t>
            </w:r>
          </w:p>
        </w:tc>
        <w:tc>
          <w:tcPr>
            <w:tcW w:type="dxa" w:w="1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R1 fails, R2 recovers</w:t>
            </w:r>
          </w:p>
        </w:tc>
      </w:tr>
      <w:tr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product.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12.5%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22.2%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18.0%</w:t>
            </w:r>
          </w:p>
        </w:tc>
        <w:tc>
          <w:tcPr>
            <w:tcW w:type="dxa" w:w="1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Abstract task verbs</w:t>
            </w:r>
          </w:p>
        </w:tc>
      </w:tr>
      <w:tr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travel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38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5.3%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33.3%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18.0%</w:t>
            </w:r>
          </w:p>
        </w:tc>
        <w:tc>
          <w:tcPr>
            <w:tcW w:type="dxa" w:w="1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Few R2 stops</w:t>
            </w:r>
          </w:p>
        </w:tc>
      </w:tr>
      <w:tr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meta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11.1%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9.1%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42.0%</w:t>
            </w:r>
          </w:p>
        </w:tc>
        <w:tc>
          <w:tcPr>
            <w:tcW w:type="dxa" w:w="1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Conversational</w:t>
            </w:r>
          </w:p>
        </w:tc>
      </w:tr>
      <w:tr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OOS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55.6%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68.0%</w:t>
            </w:r>
          </w:p>
        </w:tc>
        <w:tc>
          <w:tcPr>
            <w:tcW w:type="dxa" w:w="1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Neither stage can refuse</w:t>
            </w:r>
          </w:p>
        </w:tc>
      </w:tr>
    </w:tbl>
    <w:p>
      <w:pPr>
        <w:spacing w:after="120" w:before="0" w:line="276"/>
        <w:jc w:val="both"/>
      </w:pPr>
    </w:p>
    <w:p>
      <w:pPr>
        <w:spacing w:after="80" w:before="200"/>
        <w:jc w:val="center"/>
      </w:pPr>
      <w:r>
        <w:drawing>
          <wp:inline distT="0" distB="0" distL="0" distR="0">
            <wp:extent cx="5334000" cy="2952750"/>
            <wp:effectExtent t="0" r="0" b="0" l="0"/>
            <wp:docPr id="1" name="F3_per_agent_heatmap.png" descr="Figure 4. Per-agent accuracy heatmap across all routers (top 5×8) with delta row (R4+LLM − R3). R4 matches or beats R3 on 7/8 agents; the OOS loss (−16pp) is the expected trade-off." title="F3_per_agent_heatma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Figure 4. Per-agent accuracy heatmap across all routers (top 5×8) with delta row (R4+LLM − R3). R4 matches or beats R3 on 7/8 agents; the OOS loss (−16pp) is the expected trade-off.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4.5 Threshold Sensitivity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threshold selection depends on how much accuracy one is willing to trade for cost savings. We parameterise this trade-off as max expected_accuracy − α · LLM_call_rate and sweep α on the validation grid (42 configurations × 9 α values). At α=0 (accuracy-first), the optimal config uses 41% LLM calls at 90.9% expected accuracy; at α=0.5 (maximum savings), only 12% of queries reach the LLM at 87.2% accuracy. Our paper config (kt=0.5, et=0.10) was selected by a constraint-based criterion (min LLM rate s.t. acc ≥ 88%), falling between the α=0.10 and α=0.15 operating points. The cascade offers a smooth accuracy–cost dial: practitioners can choose their operating point by adjusting α or their accuracy floor.</w:t>
      </w:r>
    </w:p>
    <w:p>
      <w:pPr>
        <w:spacing w:after="80" w:before="200"/>
        <w:jc w:val="center"/>
      </w:pPr>
      <w:r>
        <w:drawing>
          <wp:inline distT="0" distB="0" distL="0" distR="0">
            <wp:extent cx="4953000" cy="3619500"/>
            <wp:effectExtent t="0" r="0" b="0" l="0"/>
            <wp:docPr id="1" name="F5_pareto_sensitivity.png" descr="Figure 5. Threshold sensitivity to cost penalty α. Each point is the optimal (kt, et) for a given α, evaluated on the validation set (n=3,100). The paper config (★) uses a constraint-based selection. As α increases, the cascade aggressively reduces LLM calls." title="F5_pareto_sensitiv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Figure 5. Threshold sensitivity to cost penalty α. Each point is the optimal (kt, et) for a given α, evaluated on the validation set (n=3,100). The paper config (★) uses a constraint-based selection. As α increases, the cascade aggressively reduces LLM calls.</w:t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Discussion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When does the cascade pay off?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 cascade wins when the query distribution is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bimodal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many easy queries answerable from surface features plus a tail of hard queries that need an LLM’s open-ended reasoning. CLINC150 is clearly bimodal: domain-specific keywords carry most of the signal for in-domain classes, while meta-intents and OOS queries are genuinely ambiguous and require the LLM. A benchmark with flat difficulty would show less benefit.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When does it fail?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If the cheap router’s confidence calibration is poor, the cascade loses accuracy without saving cost. The R1 false-confidence zone illustrated in the qualitative analysis (polysemous tokens) is the primary failure mode on CLINC150. The α-sensitivity analysis in §4.5 shows how the accuracy–cost trade-off shifts as the cost penalty changes: practitioners should tune α (or equivalently, their accuracy floor) to their deployment’s tolerance.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Latency.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Beyond cost, the cascade reduces latency. On a Mac Mini (M2), R1 keyword processes a query in 3.2ms median and R2 embedding in 0.3ms — both 100–1,500× faster than R3’s ~500ms API round-trip. Since 74% of queries never reach the LLM, the cascade’s median end-to-end latency is dominated by the cheap stages, not the API call.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Limitations.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(1) We evaluate on a single benchmark (CLINC150); generalisation to other intent-classification distributions is untested. (2) The 8-way agent inventory is fixed; cascades on much larger label spaces (50+ agents) would require a different cheap-stage design. (3) The thresholds are static — no online adaptation. (4) Haiku 4.5 is itself a cheap model; savings against Claude Sonnet or GPT-4 would be larger in absolute dollars.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Extension: multi-turn agent tasks.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 cascade pattern extends naturally to multi-turn settings. Instead of routing every turn, one can use a cheap model for task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decomposition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save the expensive model for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execution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evaluate this on τ-bench (Sierra 2024) in companion work.</w:t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Conclusion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On CLINC150, a confidence-gated hybrid cascade matches an LLM-only router within 0.4pp accuracy while reducing LLM calls by 74%. The design choice is not “LLM-as-router or not” — it is “LLM-as-router for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which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queries.” Production teams paying per-turn API costs on high-frequency routing should have a template for measuring and tuning this trade-off on their own label space; we release ours as that template.</w:t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Reproducibility Statement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Code, tuned thresholds, per-seed trajectories, LLM call logs: github.com/drewOrc/cost-aware-hybrid-router (MIT). Model: claude-haiku-4-5-20251001. Seeds: 42, 43, 44. Embedding: sentence-transformers/all-mpnet-base-v2. Total API cost to reproduce: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$0.44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verified reproducibility by running the full 3-seed experiment twice; per-seed accuracy varied by ≤ 0.5pp (1–2 queries out of 400), attributable to rate-limited API retries, with all qualitative conclusions unchanged.</w:t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References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Chen, L., Zaharia, M., &amp; Zou, J. (2023). FrugalGPT: How to Use Large Language Models While Reducing Cost and Improving Performance.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arXiv preprint arXiv:2305.05176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Larson, S., Mahendran, A., Peper, J. J., Clarke, C., Lee, A., Hill, P., Kummerfeld, J. K., Leach, K., Laurenzano, M. A., Tang, L., &amp; Mars, J. (2019). An Evaluation Dataset for Intent Classification and Out-of-Scope Prediction.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Proceedings of EMNLP-IJCNLP 2019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1311–1316.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Reimers, N. &amp; Gurevych, I. (2019). Sentence-BERT: Sentence Embeddings using Siamese BERT-Networks.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Proceedings of EMNLP-IJCNLP 2019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Tunstall, L., Reimers, N., Jo, U. E. S., Bates, L., Korat, D., Wasserblat, M., &amp; Pereg, O. (2022). Efficient Few-Shot Learning Without Prompts.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arXiv preprint arXiv:2209.11055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Anthropic. (2025). Claude Haiku 4.5 — Model Card and Pricing. docs.anthropic.com/en/docs/about-claude/models. Accessed 2026-04-05.</w:t>
      </w:r>
    </w:p>
    <w:sectPr>
      <w:headerReference w:type="default" r:id="rId7"/>
      <w:footerReference w:type="default" r:id="rId8"/>
      <w:pgSz w:w="11906" w:h="16838" w:orient="portrait"/>
      <w:pgMar w:top="1440" w:right="1296" w:bottom="144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666666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i/>
        <w:iCs/>
        <w:color w:val="666666"/>
        <w:sz w:val="18"/>
        <w:szCs w:val="18"/>
      </w:rPr>
      <w:t xml:space="preserve">Cost-Aware Hybrid Routing for Intent Classification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801246e9896d4855ab806b974533da06eddbb2a.png"/><Relationship Id="rId10" Type="http://schemas.openxmlformats.org/officeDocument/2006/relationships/image" Target="media/6a1437de66fd6f1bab364d9e3b44ffe1e4a58868.png"/><Relationship Id="rId11" Type="http://schemas.openxmlformats.org/officeDocument/2006/relationships/image" Target="media/7b970e11a1ad5b61bf492b4b8a56ec3a08177192.png"/><Relationship Id="rId12" Type="http://schemas.openxmlformats.org/officeDocument/2006/relationships/image" Target="media/ed8f996c76ef81cddf3426ae2a6298d6fe1a4cb8.png"/><Relationship Id="rId13" Type="http://schemas.openxmlformats.org/officeDocument/2006/relationships/image" Target="media/566d378f8d2c5745307d17268ca668dbd50b7f7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2026-04-08T04:00:45.668Z</dcterms:created>
  <dcterms:modified xsi:type="dcterms:W3CDTF">2026-04-08T04:00:45.668Z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