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color w:val="004B87"/>
          <w:sz w:val="44"/>
          <w:szCs w:val="44"/>
        </w:rPr>
        <w:t xml:space="preserve">USPS Assistant</w:t>
      </w:r>
    </w:p>
    <w:p>
      <w:pPr>
        <w:spacing w:after="360"/>
      </w:pPr>
      <w:r>
        <w:rPr>
          <w:color w:val="D22E1E"/>
          <w:sz w:val="28"/>
          <w:szCs w:val="28"/>
        </w:rPr>
        <w:t xml:space="preserve">Architecture &amp; Design Document</w:t>
      </w:r>
    </w:p>
    <w:p>
      <w:pPr>
        <w:spacing w:after="120"/>
      </w:pPr>
      <w:r>
        <w:rPr>
          <w:sz w:val="22"/>
          <w:szCs w:val="22"/>
        </w:rPr>
        <w:t xml:space="preserve">Enterprise-grade Retrieval-Augmented Generation (RAG) chatbot for USPS Publication 28 — Postal Addressing Standards and the Address Management System (AMS).</w:t>
      </w:r>
    </w:p>
    <w:p>
      <w:pPr>
        <w:spacing w:after="120"/>
      </w:pPr>
      <w:r>
        <w:rPr>
          <w:b/>
          <w:bCs/>
          <w:sz w:val="22"/>
          <w:szCs w:val="22"/>
        </w:rPr>
        <w:t xml:space="preserve">Version: </w:t>
      </w:r>
      <w:r>
        <w:rPr>
          <w:sz w:val="22"/>
          <w:szCs w:val="22"/>
        </w:rPr>
        <w:t xml:space="preserve">1.0  </w:t>
      </w:r>
      <w:r>
        <w:rPr>
          <w:b/>
          <w:bCs/>
          <w:sz w:val="22"/>
          <w:szCs w:val="22"/>
        </w:rPr>
        <w:t xml:space="preserve">Date: </w:t>
      </w:r>
      <w:r>
        <w:rPr>
          <w:sz w:val="22"/>
          <w:szCs w:val="22"/>
        </w:rPr>
        <w:t xml:space="preserve">April 18, 2026  </w:t>
      </w:r>
      <w:r>
        <w:rPr>
          <w:b/>
          <w:bCs/>
          <w:sz w:val="22"/>
          <w:szCs w:val="22"/>
        </w:rPr>
        <w:t xml:space="preserve">Status: </w:t>
      </w:r>
      <w:r>
        <w:rPr>
          <w:sz w:val="22"/>
          <w:szCs w:val="22"/>
        </w:rPr>
        <w:t xml:space="preserve">Design reference</w:t>
      </w:r>
    </w:p>
    <w:p>
      <w:r>
        <w:br w:type="page"/>
      </w:r>
    </w:p>
    <w:p>
      <w:pPr>
        <w:pStyle w:val="Heading1"/>
        <w:spacing w:after="18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Executive Summary</w:t>
      </w:r>
    </w:p>
    <w:p>
      <w:pPr>
        <w:spacing w:after="120"/>
      </w:pPr>
      <w:r>
        <w:rPr>
          <w:sz w:val="22"/>
          <w:szCs w:val="22"/>
        </w:rPr>
        <w:t xml:space="preserve">The USPS Assistant is a domain-specific conversational agent that answers technical questions about USPS addressing standards, address quality products, and operational processes. It combines a retrieval layer over authoritative USPS documents with a large language model (LLM) to produce grounded, citable answers.</w:t>
      </w:r>
    </w:p>
    <w:p>
      <w:pPr>
        <w:spacing w:after="120"/>
      </w:pPr>
      <w:r>
        <w:rPr>
          <w:sz w:val="22"/>
          <w:szCs w:val="22"/>
        </w:rPr>
        <w:t xml:space="preserve">Primary sources indexed at launch:</w:t>
      </w:r>
    </w:p>
    <w:p>
      <w:pPr>
        <w:pStyle w:val="ListParagraph"/>
        <w:numPr>
          <w:ilvl w:val="0"/>
          <w:numId w:val="2"/>
        </w:numPr>
        <w:spacing w:after="80"/>
      </w:pPr>
      <w:r>
        <w:rPr>
          <w:sz w:val="22"/>
          <w:szCs w:val="22"/>
        </w:rPr>
        <w:t xml:space="preserve">USPS Publication 28, Postal Addressing Standards (October 2024 edition, PSN 7610-03-000-3688).</w:t>
      </w:r>
    </w:p>
    <w:p>
      <w:pPr>
        <w:pStyle w:val="ListParagraph"/>
        <w:numPr>
          <w:ilvl w:val="0"/>
          <w:numId w:val="2"/>
        </w:numPr>
        <w:spacing w:after="80"/>
      </w:pPr>
      <w:r>
        <w:rPr>
          <w:sz w:val="22"/>
          <w:szCs w:val="22"/>
        </w:rPr>
        <w:t xml:space="preserve">USPS Address Management System (AMS) API documentation and related address-quality product descriptions (DPV, LACSLink, SuiteLink, eLOT, CASS).</w:t>
      </w:r>
    </w:p>
    <w:p>
      <w:pPr>
        <w:spacing w:after="120"/>
      </w:pPr>
      <w:r>
        <w:rPr>
          <w:sz w:val="22"/>
          <w:szCs w:val="22"/>
        </w:rPr>
        <w:t xml:space="preserve">Design goals: (a) every factual claim traces to a retrievable passage with a URL, (b) the LLM and vector store are pluggable behind stable interfaces, and (c) the system is deployable in a restricted federal environment without mandatory third-party SaaS dependencies.</w:t>
      </w:r>
    </w:p>
    <w:p>
      <w:pPr>
        <w:pStyle w:val="Heading1"/>
        <w:spacing w:after="180" w:before="360"/>
      </w:pPr>
      <w:r>
        <w:t xml:space="preserve">2. Audience and Use Cases</w:t>
      </w:r>
    </w:p>
    <w:p>
      <w:pPr>
        <w:pStyle w:val="Heading2"/>
        <w:spacing w:after="120" w:before="240"/>
      </w:pPr>
      <w:r>
        <w:t xml:space="preserve">2.1 User segments</w:t>
      </w:r>
    </w:p>
    <w:p>
      <w:pPr>
        <w:pStyle w:val="ListParagraph"/>
        <w:numPr>
          <w:ilvl w:val="0"/>
          <w:numId w:val="2"/>
        </w:numPr>
        <w:spacing w:after="80"/>
      </w:pPr>
      <w:r>
        <w:rPr>
          <w:sz w:val="22"/>
          <w:szCs w:val="22"/>
        </w:rPr>
        <w:t xml:space="preserve">USPS internal employees — address management specialists, mail handlers, operations staff needing quick rule lookups.</w:t>
      </w:r>
    </w:p>
    <w:p>
      <w:pPr>
        <w:pStyle w:val="ListParagraph"/>
        <w:numPr>
          <w:ilvl w:val="0"/>
          <w:numId w:val="2"/>
        </w:numPr>
        <w:spacing w:after="80"/>
      </w:pPr>
      <w:r>
        <w:rPr>
          <w:sz w:val="22"/>
          <w:szCs w:val="22"/>
        </w:rPr>
        <w:t xml:space="preserve">Business mailers and software vendors — developers integrating AMS/CASS workflows who need authoritative rule references.</w:t>
      </w:r>
    </w:p>
    <w:p>
      <w:pPr>
        <w:pStyle w:val="ListParagraph"/>
        <w:numPr>
          <w:ilvl w:val="0"/>
          <w:numId w:val="2"/>
        </w:numPr>
        <w:spacing w:after="80"/>
      </w:pPr>
      <w:r>
        <w:rPr>
          <w:sz w:val="22"/>
          <w:szCs w:val="22"/>
        </w:rPr>
        <w:t xml:space="preserve">General public — customers asking about addressing, tracking, or shipping basics (answered with clearly labeled general guidance, not from Pub 28/AMS).</w:t>
      </w:r>
    </w:p>
    <w:p>
      <w:pPr>
        <w:pStyle w:val="Heading2"/>
        <w:spacing w:after="120" w:before="240"/>
      </w:pPr>
      <w:r>
        <w:t xml:space="preserve">2.2 Representative queries</w:t>
      </w:r>
    </w:p>
    <w:p>
      <w:pPr>
        <w:pStyle w:val="ListParagraph"/>
        <w:numPr>
          <w:ilvl w:val="0"/>
          <w:numId w:val="2"/>
        </w:numPr>
        <w:spacing w:after="80"/>
      </w:pPr>
      <w:r>
        <w:rPr>
          <w:sz w:val="22"/>
          <w:szCs w:val="22"/>
        </w:rPr>
        <w:t xml:space="preserve">“What's the standard abbreviation for SUITE?”</w:t>
      </w:r>
    </w:p>
    <w:p>
      <w:pPr>
        <w:pStyle w:val="ListParagraph"/>
        <w:numPr>
          <w:ilvl w:val="0"/>
          <w:numId w:val="2"/>
        </w:numPr>
        <w:spacing w:after="80"/>
      </w:pPr>
      <w:r>
        <w:rPr>
          <w:sz w:val="22"/>
          <w:szCs w:val="22"/>
        </w:rPr>
        <w:t xml:space="preserve">“When do I use a predirectional vs a postdirectional?”</w:t>
      </w:r>
    </w:p>
    <w:p>
      <w:pPr>
        <w:pStyle w:val="ListParagraph"/>
        <w:numPr>
          <w:ilvl w:val="0"/>
          <w:numId w:val="2"/>
        </w:numPr>
        <w:spacing w:after="80"/>
      </w:pPr>
      <w:r>
        <w:rPr>
          <w:sz w:val="22"/>
          <w:szCs w:val="22"/>
        </w:rPr>
        <w:t xml:space="preserve">“What AMS return codes indicate a confirmed delivery point?”</w:t>
      </w:r>
    </w:p>
    <w:p>
      <w:pPr>
        <w:pStyle w:val="ListParagraph"/>
        <w:numPr>
          <w:ilvl w:val="0"/>
          <w:numId w:val="2"/>
        </w:numPr>
        <w:spacing w:after="80"/>
      </w:pPr>
      <w:r>
        <w:rPr>
          <w:sz w:val="22"/>
          <w:szCs w:val="22"/>
        </w:rPr>
        <w:t xml:space="preserve">“How are DPV and LACSLink different?”</w:t>
      </w:r>
    </w:p>
    <w:p>
      <w:pPr>
        <w:pStyle w:val="ListParagraph"/>
        <w:numPr>
          <w:ilvl w:val="0"/>
          <w:numId w:val="2"/>
        </w:numPr>
        <w:spacing w:after="80"/>
      </w:pPr>
      <w:r>
        <w:rPr>
          <w:sz w:val="22"/>
          <w:szCs w:val="22"/>
        </w:rPr>
        <w:t xml:space="preserve">“What does ZIP+4 matching validate?”</w:t>
      </w:r>
    </w:p>
    <w:p>
      <w:pPr>
        <w:pStyle w:val="Heading1"/>
        <w:spacing w:after="180" w:before="360"/>
      </w:pPr>
      <w:r>
        <w:t xml:space="preserve">3. High-Level Architecture</w:t>
      </w:r>
    </w:p>
    <w:p>
      <w:pPr>
        <w:spacing w:after="120"/>
      </w:pPr>
      <w:r>
        <w:rPr>
          <w:sz w:val="22"/>
          <w:szCs w:val="22"/>
        </w:rPr>
        <w:t xml:space="preserve">The system follows a classic Retrieval-Augmented Generation topology with clear separation between the retrieval plane and the generation plane:</w:t>
      </w:r>
    </w:p>
    <w:p>
      <w:pPr>
        <w:spacing w:after="120"/>
      </w:pPr>
      <w:r>
        <w:rPr>
          <w:rFonts w:ascii="Consolas" w:cs="Consolas" w:eastAsia="Consolas" w:hAnsi="Consolas"/>
          <w:sz w:val="20"/>
          <w:szCs w:val="20"/>
        </w:rPr>
        <w:t xml:space="preserve">Client (browser) → FastAPI gateway → [Retriever → Vector Store] → Prompt Builder → LLM Provider → Streamed Response</w:t>
      </w:r>
    </w:p>
    <w:p>
      <w:pPr>
        <w:pStyle w:val="Heading2"/>
        <w:spacing w:after="120" w:before="240"/>
      </w:pPr>
      <w:r>
        <w:t xml:space="preserve">3.1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7C2B2" w:sz="4"/>
              <w:left w:val="single" w:color="C7C2B2" w:sz="4"/>
              <w:bottom w:val="single" w:color="C7C2B2" w:sz="4"/>
              <w:right w:val="single" w:color="C7C2B2" w:sz="4"/>
            </w:tcBorders>
            <w:shd w:fill="004B87" w:val="clear"/>
            <w:tcMar>
              <w:top w:type="dxa" w:w="80"/>
              <w:left w:type="dxa" w:w="120"/>
              <w:bottom w:type="dxa" w:w="80"/>
              <w:right w:type="dxa" w:w="120"/>
            </w:tcMar>
          </w:tcPr>
          <w:p>
            <w:r>
              <w:rPr>
                <w:b/>
                <w:bCs/>
                <w:color w:val="FFFFFF"/>
                <w:sz w:val="22"/>
                <w:szCs w:val="22"/>
              </w:rPr>
              <w:t xml:space="preserve">Component</w:t>
            </w:r>
          </w:p>
        </w:tc>
        <w:tc>
          <w:tcPr>
            <w:tcW w:type="dxa" w:w="7200"/>
            <w:tcBorders>
              <w:top w:val="single" w:color="C7C2B2" w:sz="4"/>
              <w:left w:val="single" w:color="C7C2B2" w:sz="4"/>
              <w:bottom w:val="single" w:color="C7C2B2" w:sz="4"/>
              <w:right w:val="single" w:color="C7C2B2" w:sz="4"/>
            </w:tcBorders>
            <w:shd w:fill="004B87" w:val="clear"/>
            <w:tcMar>
              <w:top w:type="dxa" w:w="80"/>
              <w:left w:type="dxa" w:w="120"/>
              <w:bottom w:type="dxa" w:w="80"/>
              <w:right w:type="dxa" w:w="120"/>
            </w:tcMar>
          </w:tcPr>
          <w:p>
            <w:r>
              <w:rPr>
                <w:b/>
                <w:bCs/>
                <w:color w:val="FFFFFF"/>
                <w:sz w:val="22"/>
                <w:szCs w:val="22"/>
              </w:rPr>
              <w:t xml:space="preserve">Responsibility</w:t>
            </w:r>
          </w:p>
        </w:tc>
      </w:tr>
      <w:tr>
        <w:tc>
          <w:tcPr>
            <w:tcW w:type="dxa" w:w="216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Frontend (index.html)</w:t>
            </w:r>
          </w:p>
        </w:tc>
        <w:tc>
          <w:tcPr>
            <w:tcW w:type="dxa" w:w="720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Single-file HTML + Tailwind + vanilla JS chat UI. Consumes SSE stream, renders citation pills linked to source cards.</w:t>
            </w:r>
          </w:p>
        </w:tc>
      </w:tr>
      <w:tr>
        <w:tc>
          <w:tcPr>
            <w:tcW w:type="dxa" w:w="216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FastAPI backend</w:t>
            </w:r>
          </w:p>
        </w:tc>
        <w:tc>
          <w:tcPr>
            <w:tcW w:type="dxa" w:w="720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Authentication boundary, rate limiting hook, request validation (Pydantic), audit logging, routes.</w:t>
            </w:r>
          </w:p>
        </w:tc>
      </w:tr>
      <w:tr>
        <w:tc>
          <w:tcPr>
            <w:tcW w:type="dxa" w:w="216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Chunker</w:t>
            </w:r>
          </w:p>
        </w:tc>
        <w:tc>
          <w:tcPr>
            <w:tcW w:type="dxa" w:w="720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Loads JSON KB, emits retrieval units with document provenance (section, heading, URL).</w:t>
            </w:r>
          </w:p>
        </w:tc>
      </w:tr>
      <w:tr>
        <w:tc>
          <w:tcPr>
            <w:tcW w:type="dxa" w:w="216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Embedder</w:t>
            </w:r>
          </w:p>
        </w:tc>
        <w:tc>
          <w:tcPr>
            <w:tcW w:type="dxa" w:w="720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EmbeddingProvider interface. Default: sentence-transformers/all-MiniLM-L6-v2 (local, 384-dim).</w:t>
            </w:r>
          </w:p>
        </w:tc>
      </w:tr>
      <w:tr>
        <w:tc>
          <w:tcPr>
            <w:tcW w:type="dxa" w:w="216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Vector Store</w:t>
            </w:r>
          </w:p>
        </w:tc>
        <w:tc>
          <w:tcPr>
            <w:tcW w:type="dxa" w:w="720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VectorStore interface. Default: FAISS IndexFlatIP (cosine via unit-normalized vectors). Fallback: numpy in-memory.</w:t>
            </w:r>
          </w:p>
        </w:tc>
      </w:tr>
      <w:tr>
        <w:tc>
          <w:tcPr>
            <w:tcW w:type="dxa" w:w="216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LLM Provider</w:t>
            </w:r>
          </w:p>
        </w:tc>
        <w:tc>
          <w:tcPr>
            <w:tcW w:type="dxa" w:w="720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LLMProvider interface. Shipped: Anthropic Claude, OpenAI, Echo (offline stub). Swap providers via environment variable.</w:t>
            </w:r>
          </w:p>
        </w:tc>
      </w:tr>
      <w:tr>
        <w:tc>
          <w:tcPr>
            <w:tcW w:type="dxa" w:w="216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Telemetry</w:t>
            </w:r>
          </w:p>
        </w:tc>
        <w:tc>
          <w:tcPr>
            <w:tcW w:type="dxa" w:w="720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Structured JSON audit log per request (conversation id, retrieved chunk ids, latency). Slots into OpenTelemetry or CloudWatch.</w:t>
            </w:r>
          </w:p>
        </w:tc>
      </w:tr>
    </w:tbl>
    <w:p>
      <w:pPr>
        <w:pStyle w:val="Heading1"/>
        <w:spacing w:after="180" w:before="360"/>
      </w:pPr>
      <w:r>
        <w:t xml:space="preserve">4. RAG Pipeline</w:t>
      </w:r>
    </w:p>
    <w:p>
      <w:pPr>
        <w:pStyle w:val="Heading2"/>
        <w:spacing w:after="120" w:before="240"/>
      </w:pPr>
      <w:r>
        <w:t xml:space="preserve">4.1 Ingestion (offline)</w:t>
      </w:r>
    </w:p>
    <w:p>
      <w:pPr>
        <w:spacing w:after="120"/>
      </w:pPr>
      <w:r>
        <w:rPr>
          <w:sz w:val="22"/>
          <w:szCs w:val="22"/>
        </w:rPr>
        <w:t xml:space="preserve">Knowledge base authors edit JSON files under /data/{pub28,ams}/. Each document contains source metadata (publication, edition, URL, retrieved date) and a list of chunks. Running</w:t>
      </w:r>
    </w:p>
    <w:p>
      <w:pPr>
        <w:spacing w:after="120"/>
      </w:pPr>
      <w:r>
        <w:rPr>
          <w:rFonts w:ascii="Consolas" w:cs="Consolas" w:eastAsia="Consolas" w:hAnsi="Consolas"/>
          <w:sz w:val="20"/>
          <w:szCs w:val="20"/>
        </w:rPr>
        <w:t xml:space="preserve">  python -m backend.ingest.ingest</w:t>
      </w:r>
    </w:p>
    <w:p>
      <w:pPr>
        <w:spacing w:after="120"/>
      </w:pPr>
      <w:r>
        <w:rPr>
          <w:sz w:val="22"/>
          <w:szCs w:val="22"/>
        </w:rPr>
        <w:t xml:space="preserve">loads all JSONs, applies sentence-boundary splitting only when a chunk exceeds 1400 characters, embeds with the configured embedder, and persists a FAISS index plus pickled chunk metadata under INDEX_PATH.</w:t>
      </w:r>
    </w:p>
    <w:p>
      <w:pPr>
        <w:pStyle w:val="Heading2"/>
        <w:spacing w:after="120" w:before="240"/>
      </w:pPr>
      <w:r>
        <w:t xml:space="preserve">4.2 Retrieval (online)</w:t>
      </w:r>
    </w:p>
    <w:p>
      <w:pPr>
        <w:pStyle w:val="ListParagraph"/>
        <w:numPr>
          <w:ilvl w:val="0"/>
          <w:numId w:val="2"/>
        </w:numPr>
        <w:spacing w:after="80"/>
      </w:pPr>
      <w:r>
        <w:rPr>
          <w:sz w:val="22"/>
          <w:szCs w:val="22"/>
        </w:rPr>
        <w:t xml:space="preserve">The user query is embedded with the same model used for ingestion.</w:t>
      </w:r>
    </w:p>
    <w:p>
      <w:pPr>
        <w:pStyle w:val="ListParagraph"/>
        <w:numPr>
          <w:ilvl w:val="0"/>
          <w:numId w:val="2"/>
        </w:numPr>
        <w:spacing w:after="80"/>
      </w:pPr>
      <w:r>
        <w:rPr>
          <w:sz w:val="22"/>
          <w:szCs w:val="22"/>
        </w:rPr>
        <w:t xml:space="preserve">FAISS returns top-K hits ranked by inner product on normalized vectors (cosine similarity).</w:t>
      </w:r>
    </w:p>
    <w:p>
      <w:pPr>
        <w:pStyle w:val="ListParagraph"/>
        <w:numPr>
          <w:ilvl w:val="0"/>
          <w:numId w:val="2"/>
        </w:numPr>
        <w:spacing w:after="80"/>
      </w:pPr>
      <w:r>
        <w:rPr>
          <w:sz w:val="22"/>
          <w:szCs w:val="22"/>
        </w:rPr>
        <w:t xml:space="preserve">A minimum-score floor (MIN_SCORE) filters out weak matches; if nothing clears the floor, the single best hit is still returned so the LLM can tell the user that coverage is thin.</w:t>
      </w:r>
    </w:p>
    <w:p>
      <w:pPr>
        <w:pStyle w:val="Heading2"/>
        <w:spacing w:after="120" w:before="240"/>
      </w:pPr>
      <w:r>
        <w:t xml:space="preserve">4.3 Prompt assembly</w:t>
      </w:r>
    </w:p>
    <w:p>
      <w:pPr>
        <w:spacing w:after="120"/>
      </w:pPr>
      <w:r>
        <w:rPr>
          <w:sz w:val="22"/>
          <w:szCs w:val="22"/>
        </w:rPr>
        <w:t xml:space="preserve">Retrieved chunks are rendered as labeled blocks:</w:t>
      </w:r>
    </w:p>
    <w:p>
      <w:pPr>
        <w:spacing w:after="120"/>
      </w:pPr>
      <w:r>
        <w:rPr>
          <w:rFonts w:ascii="Consolas" w:cs="Consolas" w:eastAsia="Consolas" w:hAnsi="Consolas"/>
          <w:sz w:val="20"/>
          <w:szCs w:val="20"/>
        </w:rPr>
        <w:t xml:space="preserve">  [pub28-213-02] Source: &lt;title&gt; — &lt;heading&gt; (section &lt;n&gt;)
  URL: &lt;url&gt;
  &lt;text&gt;</w:t>
      </w:r>
    </w:p>
    <w:p>
      <w:pPr>
        <w:spacing w:after="120"/>
      </w:pPr>
      <w:r>
        <w:rPr>
          <w:sz w:val="22"/>
          <w:szCs w:val="22"/>
        </w:rPr>
        <w:t xml:space="preserve">The system prompt (a) restricts the model to the provided context for Pub 28/AMS facts, (b) requires inline citations in square brackets, and (c) instructs the model to clearly label general-knowledge answers as unrelated to the indexed corpus.</w:t>
      </w:r>
    </w:p>
    <w:p>
      <w:pPr>
        <w:pStyle w:val="Heading2"/>
        <w:spacing w:after="120" w:before="240"/>
      </w:pPr>
      <w:r>
        <w:t xml:space="preserve">4.4 Generation and streaming</w:t>
      </w:r>
    </w:p>
    <w:p>
      <w:pPr>
        <w:spacing w:after="120"/>
      </w:pPr>
      <w:r>
        <w:rPr>
          <w:sz w:val="22"/>
          <w:szCs w:val="22"/>
        </w:rPr>
        <w:t xml:space="preserve">The LLM provider streams tokens back via Server-Sent Events. The frontend renders tokens as they arrive, then receives a trailing citations event that populates the source panel with clickable cards linking to pe.usps.com.</w:t>
      </w:r>
    </w:p>
    <w:p>
      <w:pPr>
        <w:pStyle w:val="Heading1"/>
        <w:spacing w:after="180" w:before="360"/>
      </w:pPr>
      <w:r>
        <w:t xml:space="preserve">5. Data Model</w:t>
      </w:r>
    </w:p>
    <w:p>
      <w:pPr>
        <w:pStyle w:val="Heading2"/>
        <w:spacing w:after="120" w:before="240"/>
      </w:pPr>
      <w:r>
        <w:t xml:space="preserve">5.1 Knowledge-base document schema</w:t>
      </w:r>
    </w:p>
    <w:p>
      <w:pPr>
        <w:spacing w:after="120"/>
      </w:pPr>
      <w:r>
        <w:rPr>
          <w:sz w:val="22"/>
          <w:szCs w:val="22"/>
        </w:rPr>
        <w:t xml:space="preserve">Each JSON document represents one USPS source section:</w:t>
      </w:r>
    </w:p>
    <w:p>
      <w:pPr>
        <w:spacing w:after="120"/>
      </w:pPr>
      <w:r>
        <w:rPr>
          <w:rFonts w:ascii="Consolas" w:cs="Consolas" w:eastAsia="Consolas" w:hAnsi="Consolas"/>
          <w:sz w:val="20"/>
          <w:szCs w:val="20"/>
        </w:rPr>
        <w:t xml:space="preserve">{
  doc_id, title,
  source: { publication, edition, url, retrieved, ... },
  chunks: [ { chunk_id, section, heading, text, keywords } ]
}</w:t>
      </w:r>
    </w:p>
    <w:p>
      <w:pPr>
        <w:pStyle w:val="Heading2"/>
        <w:spacing w:after="120" w:before="240"/>
      </w:pPr>
      <w:r>
        <w:t xml:space="preserve">5.2 Chunk identifier convention</w:t>
      </w:r>
    </w:p>
    <w:p>
      <w:pPr>
        <w:pStyle w:val="ListParagraph"/>
        <w:numPr>
          <w:ilvl w:val="0"/>
          <w:numId w:val="2"/>
        </w:numPr>
        <w:spacing w:after="80"/>
      </w:pPr>
      <w:r>
        <w:rPr>
          <w:sz w:val="22"/>
          <w:szCs w:val="22"/>
        </w:rPr>
        <w:t xml:space="preserve">Pub 28 chunks: pub28-&lt;section&gt;-&lt;ordinal&gt;  (e.g., pub28-213-02).</w:t>
      </w:r>
    </w:p>
    <w:p>
      <w:pPr>
        <w:pStyle w:val="ListParagraph"/>
        <w:numPr>
          <w:ilvl w:val="0"/>
          <w:numId w:val="2"/>
        </w:numPr>
        <w:spacing w:after="80"/>
      </w:pPr>
      <w:r>
        <w:rPr>
          <w:sz w:val="22"/>
          <w:szCs w:val="22"/>
        </w:rPr>
        <w:t xml:space="preserve">AMS chunks: ams-&lt;topic&gt;-&lt;ordinal&gt;  (e.g., ams-api-03).</w:t>
      </w:r>
    </w:p>
    <w:p>
      <w:pPr>
        <w:spacing w:after="120"/>
      </w:pPr>
      <w:r>
        <w:rPr>
          <w:sz w:val="22"/>
          <w:szCs w:val="22"/>
        </w:rPr>
        <w:t xml:space="preserve">Chunk IDs are stable across ingests so citations in historical responses remain resolvable.</w:t>
      </w:r>
    </w:p>
    <w:p>
      <w:pPr>
        <w:pStyle w:val="Heading1"/>
        <w:spacing w:after="180" w:before="360"/>
      </w:pPr>
      <w:r>
        <w:t xml:space="preserve">6. Security and Compliance</w:t>
      </w:r>
    </w:p>
    <w:p>
      <w:pPr>
        <w:pStyle w:val="ListParagraph"/>
        <w:numPr>
          <w:ilvl w:val="0"/>
          <w:numId w:val="2"/>
        </w:numPr>
        <w:spacing w:after="80"/>
      </w:pPr>
      <w:r>
        <w:rPr>
          <w:sz w:val="22"/>
          <w:szCs w:val="22"/>
        </w:rPr>
        <w:t xml:space="preserve">Transport: TLS enforced at the edge (reverse proxy or API Gateway). CORS is configured via ALLOWED_ORIGINS and defaults closed.</w:t>
      </w:r>
    </w:p>
    <w:p>
      <w:pPr>
        <w:pStyle w:val="ListParagraph"/>
        <w:numPr>
          <w:ilvl w:val="0"/>
          <w:numId w:val="2"/>
        </w:numPr>
        <w:spacing w:after="80"/>
      </w:pPr>
      <w:r>
        <w:rPr>
          <w:sz w:val="22"/>
          <w:szCs w:val="22"/>
        </w:rPr>
        <w:t xml:space="preserve">Secrets: provider keys come from environment variables (or a secrets manager); they are never read from the KB, the frontend, or request bodies.</w:t>
      </w:r>
    </w:p>
    <w:p>
      <w:pPr>
        <w:pStyle w:val="ListParagraph"/>
        <w:numPr>
          <w:ilvl w:val="0"/>
          <w:numId w:val="2"/>
        </w:numPr>
        <w:spacing w:after="80"/>
      </w:pPr>
      <w:r>
        <w:rPr>
          <w:sz w:val="22"/>
          <w:szCs w:val="22"/>
        </w:rPr>
        <w:t xml:space="preserve">Data classification: the shipped KB contains only publicly available USPS documentation. Organizations adding internal content (SOPs, runbooks) should classify per their records-management policy.</w:t>
      </w:r>
    </w:p>
    <w:p>
      <w:pPr>
        <w:pStyle w:val="ListParagraph"/>
        <w:numPr>
          <w:ilvl w:val="0"/>
          <w:numId w:val="2"/>
        </w:numPr>
        <w:spacing w:after="80"/>
      </w:pPr>
      <w:r>
        <w:rPr>
          <w:sz w:val="22"/>
          <w:szCs w:val="22"/>
        </w:rPr>
        <w:t xml:space="preserve">PII: the telemetry module exposes a redact() hook; plug in a regex or ML-based detector before structured logging if you expect customer queries that contain addresses.</w:t>
      </w:r>
    </w:p>
    <w:p>
      <w:pPr>
        <w:pStyle w:val="ListParagraph"/>
        <w:numPr>
          <w:ilvl w:val="0"/>
          <w:numId w:val="2"/>
        </w:numPr>
        <w:spacing w:after="80"/>
      </w:pPr>
      <w:r>
        <w:rPr>
          <w:sz w:val="22"/>
          <w:szCs w:val="22"/>
        </w:rPr>
        <w:t xml:space="preserve">Abuse: add rate limiting at the gateway (per-IP and per-token buckets). The chat route is cheap to DoS without it.</w:t>
      </w:r>
    </w:p>
    <w:p>
      <w:pPr>
        <w:pStyle w:val="ListParagraph"/>
        <w:numPr>
          <w:ilvl w:val="0"/>
          <w:numId w:val="2"/>
        </w:numPr>
        <w:spacing w:after="80"/>
      </w:pPr>
      <w:r>
        <w:rPr>
          <w:sz w:val="22"/>
          <w:szCs w:val="22"/>
        </w:rPr>
        <w:t xml:space="preserve">Prompt injection resistance: the system prompt explicitly restricts factual answers to the retrieved context and forbids acting on instructions embedded in documents. For stricter guarantees, add an output classifier that rejects responses lacking citation markers.</w:t>
      </w:r>
    </w:p>
    <w:p>
      <w:pPr>
        <w:pStyle w:val="ListParagraph"/>
        <w:numPr>
          <w:ilvl w:val="0"/>
          <w:numId w:val="2"/>
        </w:numPr>
        <w:spacing w:after="80"/>
      </w:pPr>
      <w:r>
        <w:rPr>
          <w:sz w:val="22"/>
          <w:szCs w:val="22"/>
        </w:rPr>
        <w:t xml:space="preserve">Auditability: every /chat request emits a JSON audit line with conversation id, retrieved chunk ids, model, retrieval and generation latency — sufficient for later review of any answer.</w:t>
      </w:r>
    </w:p>
    <w:p>
      <w:pPr>
        <w:pStyle w:val="ListParagraph"/>
        <w:numPr>
          <w:ilvl w:val="0"/>
          <w:numId w:val="2"/>
        </w:numPr>
        <w:spacing w:after="80"/>
      </w:pPr>
      <w:r>
        <w:rPr>
          <w:sz w:val="22"/>
          <w:szCs w:val="22"/>
        </w:rPr>
        <w:t xml:space="preserve">Federal deployment: the default stack (FAISS + sentence-transformers + Claude or OpenAI via API) is compatible with FedRAMP-moderate boundary patterns; substitute a FedRAMP-authorized model endpoint as required.</w:t>
      </w:r>
    </w:p>
    <w:p>
      <w:pPr>
        <w:pStyle w:val="Heading1"/>
        <w:spacing w:after="180" w:before="360"/>
      </w:pPr>
      <w:r>
        <w:t xml:space="preserve">7. Deployment</w:t>
      </w:r>
    </w:p>
    <w:p>
      <w:pPr>
        <w:pStyle w:val="Heading2"/>
        <w:spacing w:after="120" w:before="240"/>
      </w:pPr>
      <w:r>
        <w:t xml:space="preserve">7.1 Reference topology</w:t>
      </w:r>
    </w:p>
    <w:p>
      <w:pPr>
        <w:pStyle w:val="ListParagraph"/>
        <w:numPr>
          <w:ilvl w:val="0"/>
          <w:numId w:val="2"/>
        </w:numPr>
        <w:spacing w:after="80"/>
      </w:pPr>
      <w:r>
        <w:rPr>
          <w:sz w:val="22"/>
          <w:szCs w:val="22"/>
        </w:rPr>
        <w:t xml:space="preserve">Container image: python:3.11-slim with requirements.txt; Uvicorn workers behind Nginx/ALB.</w:t>
      </w:r>
    </w:p>
    <w:p>
      <w:pPr>
        <w:pStyle w:val="ListParagraph"/>
        <w:numPr>
          <w:ilvl w:val="0"/>
          <w:numId w:val="2"/>
        </w:numPr>
        <w:spacing w:after="80"/>
      </w:pPr>
      <w:r>
        <w:rPr>
          <w:sz w:val="22"/>
          <w:szCs w:val="22"/>
        </w:rPr>
        <w:t xml:space="preserve">Stateless app tier: all persistent state lives in the FAISS index (read-only at runtime) and the audit log sink.</w:t>
      </w:r>
    </w:p>
    <w:p>
      <w:pPr>
        <w:pStyle w:val="ListParagraph"/>
        <w:numPr>
          <w:ilvl w:val="0"/>
          <w:numId w:val="2"/>
        </w:numPr>
        <w:spacing w:after="80"/>
      </w:pPr>
      <w:r>
        <w:rPr>
          <w:sz w:val="22"/>
          <w:szCs w:val="22"/>
        </w:rPr>
        <w:t xml:space="preserve">Index refresh: a scheduled job runs ingest.py when /data changes, writes a new index version, and the app tier reloads on restart.</w:t>
      </w:r>
    </w:p>
    <w:p>
      <w:pPr>
        <w:pStyle w:val="Heading2"/>
        <w:spacing w:after="120" w:before="240"/>
      </w:pPr>
      <w:r>
        <w:t xml:space="preserve">7.2 Configuration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tcBorders>
              <w:top w:val="single" w:color="C7C2B2" w:sz="4"/>
              <w:left w:val="single" w:color="C7C2B2" w:sz="4"/>
              <w:bottom w:val="single" w:color="C7C2B2" w:sz="4"/>
              <w:right w:val="single" w:color="C7C2B2" w:sz="4"/>
            </w:tcBorders>
            <w:shd w:fill="004B87" w:val="clear"/>
            <w:tcMar>
              <w:top w:type="dxa" w:w="80"/>
              <w:left w:type="dxa" w:w="120"/>
              <w:bottom w:type="dxa" w:w="80"/>
              <w:right w:type="dxa" w:w="120"/>
            </w:tcMar>
          </w:tcPr>
          <w:p>
            <w:r>
              <w:rPr>
                <w:b/>
                <w:bCs/>
                <w:color w:val="FFFFFF"/>
                <w:sz w:val="22"/>
                <w:szCs w:val="22"/>
              </w:rPr>
              <w:t xml:space="preserve">Environment</w:t>
            </w:r>
          </w:p>
        </w:tc>
        <w:tc>
          <w:tcPr>
            <w:tcW w:type="dxa" w:w="3240"/>
            <w:tcBorders>
              <w:top w:val="single" w:color="C7C2B2" w:sz="4"/>
              <w:left w:val="single" w:color="C7C2B2" w:sz="4"/>
              <w:bottom w:val="single" w:color="C7C2B2" w:sz="4"/>
              <w:right w:val="single" w:color="C7C2B2" w:sz="4"/>
            </w:tcBorders>
            <w:shd w:fill="004B87" w:val="clear"/>
            <w:tcMar>
              <w:top w:type="dxa" w:w="80"/>
              <w:left w:type="dxa" w:w="120"/>
              <w:bottom w:type="dxa" w:w="80"/>
              <w:right w:type="dxa" w:w="120"/>
            </w:tcMar>
          </w:tcPr>
          <w:p>
            <w:r>
              <w:rPr>
                <w:b/>
                <w:bCs/>
                <w:color w:val="FFFFFF"/>
                <w:sz w:val="22"/>
                <w:szCs w:val="22"/>
              </w:rPr>
              <w:t xml:space="preserve">LLM</w:t>
            </w:r>
          </w:p>
        </w:tc>
        <w:tc>
          <w:tcPr>
            <w:tcW w:type="dxa" w:w="3600"/>
            <w:tcBorders>
              <w:top w:val="single" w:color="C7C2B2" w:sz="4"/>
              <w:left w:val="single" w:color="C7C2B2" w:sz="4"/>
              <w:bottom w:val="single" w:color="C7C2B2" w:sz="4"/>
              <w:right w:val="single" w:color="C7C2B2" w:sz="4"/>
            </w:tcBorders>
            <w:shd w:fill="004B87" w:val="clear"/>
            <w:tcMar>
              <w:top w:type="dxa" w:w="80"/>
              <w:left w:type="dxa" w:w="120"/>
              <w:bottom w:type="dxa" w:w="80"/>
              <w:right w:type="dxa" w:w="120"/>
            </w:tcMar>
          </w:tcPr>
          <w:p>
            <w:r>
              <w:rPr>
                <w:b/>
                <w:bCs/>
                <w:color w:val="FFFFFF"/>
                <w:sz w:val="22"/>
                <w:szCs w:val="22"/>
              </w:rPr>
              <w:t xml:space="preserve">Vector store</w:t>
            </w:r>
          </w:p>
        </w:tc>
      </w:tr>
      <w:tr>
        <w:tc>
          <w:tcPr>
            <w:tcW w:type="dxa" w:w="252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Local dev</w:t>
            </w:r>
          </w:p>
        </w:tc>
        <w:tc>
          <w:tcPr>
            <w:tcW w:type="dxa" w:w="324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echo (no keys)</w:t>
            </w:r>
          </w:p>
        </w:tc>
        <w:tc>
          <w:tcPr>
            <w:tcW w:type="dxa" w:w="360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FAISS (auto-built)</w:t>
            </w:r>
          </w:p>
        </w:tc>
      </w:tr>
      <w:tr>
        <w:tc>
          <w:tcPr>
            <w:tcW w:type="dxa" w:w="252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Staging</w:t>
            </w:r>
          </w:p>
        </w:tc>
        <w:tc>
          <w:tcPr>
            <w:tcW w:type="dxa" w:w="324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Claude Sonnet (small context)</w:t>
            </w:r>
          </w:p>
        </w:tc>
        <w:tc>
          <w:tcPr>
            <w:tcW w:type="dxa" w:w="360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FAISS on EFS</w:t>
            </w:r>
          </w:p>
        </w:tc>
      </w:tr>
      <w:tr>
        <w:tc>
          <w:tcPr>
            <w:tcW w:type="dxa" w:w="252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Production</w:t>
            </w:r>
          </w:p>
        </w:tc>
        <w:tc>
          <w:tcPr>
            <w:tcW w:type="dxa" w:w="324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Claude Opus or GPT-4.x</w:t>
            </w:r>
          </w:p>
        </w:tc>
        <w:tc>
          <w:tcPr>
            <w:tcW w:type="dxa" w:w="3600"/>
            <w:tcBorders>
              <w:top w:val="single" w:color="C7C2B2" w:sz="4"/>
              <w:left w:val="single" w:color="C7C2B2" w:sz="4"/>
              <w:bottom w:val="single" w:color="C7C2B2" w:sz="4"/>
              <w:right w:val="single" w:color="C7C2B2" w:sz="4"/>
            </w:tcBorders>
            <w:tcMar>
              <w:top w:type="dxa" w:w="80"/>
              <w:left w:type="dxa" w:w="120"/>
              <w:bottom w:type="dxa" w:w="80"/>
              <w:right w:type="dxa" w:w="120"/>
            </w:tcMar>
          </w:tcPr>
          <w:p>
            <w:r>
              <w:rPr>
                <w:sz w:val="22"/>
                <w:szCs w:val="22"/>
              </w:rPr>
              <w:t xml:space="preserve">FAISS or managed pgvector/OpenSearch</w:t>
            </w:r>
          </w:p>
        </w:tc>
      </w:tr>
    </w:tbl>
    <w:p>
      <w:pPr>
        <w:pStyle w:val="Heading1"/>
        <w:spacing w:after="180" w:before="360"/>
      </w:pPr>
      <w:r>
        <w:t xml:space="preserve">8. Evaluation and Quality</w:t>
      </w:r>
    </w:p>
    <w:p>
      <w:pPr>
        <w:pStyle w:val="Heading2"/>
        <w:spacing w:after="120" w:before="240"/>
      </w:pPr>
      <w:r>
        <w:t xml:space="preserve">8.1 Offline evaluation set</w:t>
      </w:r>
    </w:p>
    <w:p>
      <w:pPr>
        <w:spacing w:after="120"/>
      </w:pPr>
      <w:r>
        <w:rPr>
          <w:sz w:val="22"/>
          <w:szCs w:val="22"/>
        </w:rPr>
        <w:t xml:space="preserve">Maintain a labeled set of questions with expected chunk IDs and gold answer snippets. Nightly CI runs:</w:t>
      </w:r>
    </w:p>
    <w:p>
      <w:pPr>
        <w:pStyle w:val="ListParagraph"/>
        <w:numPr>
          <w:ilvl w:val="0"/>
          <w:numId w:val="2"/>
        </w:numPr>
        <w:spacing w:after="80"/>
      </w:pPr>
      <w:r>
        <w:rPr>
          <w:sz w:val="22"/>
          <w:szCs w:val="22"/>
        </w:rPr>
        <w:t xml:space="preserve">Recall@K on retrieval — did the correct chunk appear in the top K?</w:t>
      </w:r>
    </w:p>
    <w:p>
      <w:pPr>
        <w:pStyle w:val="ListParagraph"/>
        <w:numPr>
          <w:ilvl w:val="0"/>
          <w:numId w:val="2"/>
        </w:numPr>
        <w:spacing w:after="80"/>
      </w:pPr>
      <w:r>
        <w:rPr>
          <w:sz w:val="22"/>
          <w:szCs w:val="22"/>
        </w:rPr>
        <w:t xml:space="preserve">Citation precision — did every factual sentence in the answer carry a citation that matches a retrieved chunk?</w:t>
      </w:r>
    </w:p>
    <w:p>
      <w:pPr>
        <w:pStyle w:val="ListParagraph"/>
        <w:numPr>
          <w:ilvl w:val="0"/>
          <w:numId w:val="2"/>
        </w:numPr>
        <w:spacing w:after="80"/>
      </w:pPr>
      <w:r>
        <w:rPr>
          <w:sz w:val="22"/>
          <w:szCs w:val="22"/>
        </w:rPr>
        <w:t xml:space="preserve">Faithfulness — does the answer contain any claim not supported by the retrieved context? (LLM-as-judge with a separate model, sampled human review.)</w:t>
      </w:r>
    </w:p>
    <w:p>
      <w:pPr>
        <w:pStyle w:val="Heading2"/>
        <w:spacing w:after="120" w:before="240"/>
      </w:pPr>
      <w:r>
        <w:t xml:space="preserve">8.2 Online signals</w:t>
      </w:r>
    </w:p>
    <w:p>
      <w:pPr>
        <w:pStyle w:val="ListParagraph"/>
        <w:numPr>
          <w:ilvl w:val="0"/>
          <w:numId w:val="2"/>
        </w:numPr>
        <w:spacing w:after="80"/>
      </w:pPr>
      <w:r>
        <w:rPr>
          <w:sz w:val="22"/>
          <w:szCs w:val="22"/>
        </w:rPr>
        <w:t xml:space="preserve">Thumbs up/down on each response, stored with the conversation id and retrieved chunk ids.</w:t>
      </w:r>
    </w:p>
    <w:p>
      <w:pPr>
        <w:pStyle w:val="ListParagraph"/>
        <w:numPr>
          <w:ilvl w:val="0"/>
          <w:numId w:val="2"/>
        </w:numPr>
        <w:spacing w:after="80"/>
      </w:pPr>
      <w:r>
        <w:rPr>
          <w:sz w:val="22"/>
          <w:szCs w:val="22"/>
        </w:rPr>
        <w:t xml:space="preserve">Retrieval-score distribution and below-threshold rate — a rising rate signals KB gaps.</w:t>
      </w:r>
    </w:p>
    <w:p>
      <w:pPr>
        <w:pStyle w:val="ListParagraph"/>
        <w:numPr>
          <w:ilvl w:val="0"/>
          <w:numId w:val="2"/>
        </w:numPr>
        <w:spacing w:after="80"/>
      </w:pPr>
      <w:r>
        <w:rPr>
          <w:sz w:val="22"/>
          <w:szCs w:val="22"/>
        </w:rPr>
        <w:t xml:space="preserve">Latency SLIs: P50 retrieval &lt; 80 ms, P50 end-to-end &lt; 3 s with streaming first-token &lt; 1 s.</w:t>
      </w:r>
    </w:p>
    <w:p>
      <w:pPr>
        <w:pStyle w:val="Heading1"/>
        <w:spacing w:after="180" w:before="360"/>
      </w:pPr>
      <w:r>
        <w:t xml:space="preserve">9. Future Work</w:t>
      </w:r>
    </w:p>
    <w:p>
      <w:pPr>
        <w:pStyle w:val="ListParagraph"/>
        <w:numPr>
          <w:ilvl w:val="0"/>
          <w:numId w:val="2"/>
        </w:numPr>
        <w:spacing w:after="80"/>
      </w:pPr>
      <w:r>
        <w:rPr>
          <w:sz w:val="22"/>
          <w:szCs w:val="22"/>
        </w:rPr>
        <w:t xml:space="preserve">Hybrid retrieval (BM25 + dense) to improve exact-term matches (e.g., specific section numbers).</w:t>
      </w:r>
    </w:p>
    <w:p>
      <w:pPr>
        <w:pStyle w:val="ListParagraph"/>
        <w:numPr>
          <w:ilvl w:val="0"/>
          <w:numId w:val="2"/>
        </w:numPr>
        <w:spacing w:after="80"/>
      </w:pPr>
      <w:r>
        <w:rPr>
          <w:sz w:val="22"/>
          <w:szCs w:val="22"/>
        </w:rPr>
        <w:t xml:space="preserve">Query rewriting pass for multi-turn disambiguation.</w:t>
      </w:r>
    </w:p>
    <w:p>
      <w:pPr>
        <w:pStyle w:val="ListParagraph"/>
        <w:numPr>
          <w:ilvl w:val="0"/>
          <w:numId w:val="2"/>
        </w:numPr>
        <w:spacing w:after="80"/>
      </w:pPr>
      <w:r>
        <w:rPr>
          <w:sz w:val="22"/>
          <w:szCs w:val="22"/>
        </w:rPr>
        <w:t xml:space="preserve">A reranker (cross-encoder) between retrieval and generation when the corpus grows beyond ~10k chunks.</w:t>
      </w:r>
    </w:p>
    <w:p>
      <w:pPr>
        <w:pStyle w:val="ListParagraph"/>
        <w:numPr>
          <w:ilvl w:val="0"/>
          <w:numId w:val="2"/>
        </w:numPr>
        <w:spacing w:after="80"/>
      </w:pPr>
      <w:r>
        <w:rPr>
          <w:sz w:val="22"/>
          <w:szCs w:val="22"/>
        </w:rPr>
        <w:t xml:space="preserve">Structured-answer tools for address validation (invoke AMS API in the loop) vs pure retrieval.</w:t>
      </w:r>
    </w:p>
    <w:p>
      <w:pPr>
        <w:pStyle w:val="ListParagraph"/>
        <w:numPr>
          <w:ilvl w:val="0"/>
          <w:numId w:val="2"/>
        </w:numPr>
        <w:spacing w:after="80"/>
      </w:pPr>
      <w:r>
        <w:rPr>
          <w:sz w:val="22"/>
          <w:szCs w:val="22"/>
        </w:rPr>
        <w:t xml:space="preserve">Per-tenant KBs for USPS BUs with private procedures alongside the shared Pub 28/AMS corpus.</w:t>
      </w:r>
    </w:p>
    <w:p>
      <w:pPr>
        <w:pStyle w:val="Heading1"/>
        <w:spacing w:after="180" w:before="360"/>
      </w:pPr>
      <w:r>
        <w:t xml:space="preserve">10. References (APA)</w:t>
      </w:r>
    </w:p>
    <w:p>
      <w:pPr>
        <w:spacing w:after="120"/>
      </w:pPr>
      <w:r>
        <w:rPr>
          <w:sz w:val="22"/>
          <w:szCs w:val="22"/>
        </w:rPr>
        <w:t xml:space="preserve">U.S. Postal Service. (2024, October). Publication 28: Postal addressing standards (PSN 7610-03-000-3688). Postal Explorer. https://pe.usps.com/text/pub28/welcome.htm</w:t>
      </w:r>
    </w:p>
    <w:p>
      <w:pPr>
        <w:spacing w:after="120"/>
      </w:pPr>
      <w:r>
        <w:rPr>
          <w:sz w:val="22"/>
          <w:szCs w:val="22"/>
        </w:rPr>
        <w:t xml:space="preserve">U.S. Postal Service. (2024). Chapter 2: Postal addressing standards. Publication 28: Postal addressing standards. https://pe.usps.com/text/pub28/28c2_001.htm</w:t>
      </w:r>
    </w:p>
    <w:p>
      <w:pPr>
        <w:spacing w:after="120"/>
      </w:pPr>
      <w:r>
        <w:rPr>
          <w:sz w:val="22"/>
          <w:szCs w:val="22"/>
        </w:rPr>
        <w:t xml:space="preserve">U.S. Postal Service. (2024). Section 213: Secondary address unit designators. Publication 28: Postal addressing standards. https://pe.usps.com/text/pub28/28c2_003.htm</w:t>
      </w:r>
    </w:p>
    <w:p>
      <w:pPr>
        <w:spacing w:after="120"/>
      </w:pPr>
      <w:r>
        <w:rPr>
          <w:sz w:val="22"/>
          <w:szCs w:val="22"/>
        </w:rPr>
        <w:t xml:space="preserve">U.S. Postal Service. (2024). Appendix B: Two-letter state and possession abbreviations. Publication 28: Postal addressing standards. https://pe.usps.com/text/pub28/28apb.htm</w:t>
      </w:r>
    </w:p>
    <w:p>
      <w:pPr>
        <w:spacing w:after="120"/>
      </w:pPr>
      <w:r>
        <w:rPr>
          <w:sz w:val="22"/>
          <w:szCs w:val="22"/>
        </w:rPr>
        <w:t xml:space="preserve">U.S. Postal Service. (n.d.). Address Matching System API (AMS API). PostalPro. https://postalpro.usps.com/address-quality/ams-api</w:t>
      </w:r>
    </w:p>
    <w:p>
      <w:pPr>
        <w:spacing w:after="120"/>
      </w:pPr>
      <w:r>
        <w:rPr>
          <w:sz w:val="22"/>
          <w:szCs w:val="22"/>
        </w:rPr>
        <w:t xml:space="preserve">U.S. Postal Service. (n.d.). Address quality solutions. PostalPro. https://postalpro.usps.com/address-quality</w:t>
      </w:r>
    </w:p>
    <w:p>
      <w:pPr>
        <w:spacing w:after="120"/>
      </w:pPr>
      <w:r>
        <w:rPr>
          <w:sz w:val="22"/>
          <w:szCs w:val="22"/>
        </w:rPr>
        <w:t xml:space="preserve">U.S. Postal Service. (n.d.). Address management products. RIBBS. https://ribbs.usps.gov/address_manage_products/address_manage_products_print.htm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USPS Assistant —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4B8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4B87"/>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USPS Assistant — Architecture &amp; Design</dc:title>
  <dc:creator>USPS Assistant</dc:creator>
  <cp:lastModifiedBy>Un-named</cp:lastModifiedBy>
  <cp:revision>1</cp:revision>
  <dcterms:created xsi:type="dcterms:W3CDTF">2026-04-18T04:39:00.419Z</dcterms:created>
  <dcterms:modified xsi:type="dcterms:W3CDTF">2026-04-18T04:39:00.420Z</dcterms:modified>
</cp:coreProperties>
</file>

<file path=docProps/custom.xml><?xml version="1.0" encoding="utf-8"?>
<Properties xmlns="http://schemas.openxmlformats.org/officeDocument/2006/custom-properties" xmlns:vt="http://schemas.openxmlformats.org/officeDocument/2006/docPropsVTypes"/>
</file>