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87F2" w14:textId="5AA5BA55" w:rsidR="00FA3898" w:rsidRDefault="00174722">
      <w:r>
        <w:t xml:space="preserve">Summary Post </w:t>
      </w:r>
      <w:r w:rsidR="000143AB">
        <w:t>–</w:t>
      </w:r>
      <w:r>
        <w:t xml:space="preserve"> </w:t>
      </w:r>
      <w:r w:rsidR="000143AB">
        <w:t>UK and EU GDPR</w:t>
      </w:r>
    </w:p>
    <w:p w14:paraId="3E7A42EF" w14:textId="77777777" w:rsidR="000143AB" w:rsidRDefault="000143AB"/>
    <w:p w14:paraId="5DF13C9D" w14:textId="77777777" w:rsidR="00D87EE0" w:rsidRDefault="00B90A94">
      <w:r>
        <w:t xml:space="preserve">The main aim of the </w:t>
      </w:r>
      <w:r w:rsidR="00CB4046">
        <w:t>GDPR is t</w:t>
      </w:r>
      <w:r>
        <w:t>o</w:t>
      </w:r>
      <w:r w:rsidR="00CB4046">
        <w:t xml:space="preserve"> protect</w:t>
      </w:r>
      <w:r>
        <w:t xml:space="preserve"> the</w:t>
      </w:r>
      <w:r w:rsidR="00CB4046">
        <w:t xml:space="preserve"> privacy and security o</w:t>
      </w:r>
      <w:r>
        <w:t>f</w:t>
      </w:r>
      <w:r w:rsidR="00CB4046">
        <w:t xml:space="preserve"> UK and European residents. </w:t>
      </w:r>
      <w:r w:rsidR="00C70158">
        <w:t>The UK GDPR is primarily based on the EU GDPR</w:t>
      </w:r>
      <w:r w:rsidR="005502C5">
        <w:t>,</w:t>
      </w:r>
      <w:r w:rsidR="00C70158">
        <w:t xml:space="preserve"> with minor differences</w:t>
      </w:r>
      <w:r w:rsidR="00543D47">
        <w:t xml:space="preserve"> that affect UK residents</w:t>
      </w:r>
      <w:r w:rsidR="00C70158">
        <w:t>.</w:t>
      </w:r>
      <w:r w:rsidR="00053902">
        <w:t xml:space="preserve"> Business</w:t>
      </w:r>
      <w:r w:rsidR="005502C5">
        <w:t>es</w:t>
      </w:r>
      <w:r w:rsidR="00053902">
        <w:t xml:space="preserve"> that operate in both the EU and the UK must be compliant with both legislations</w:t>
      </w:r>
      <w:r w:rsidR="00F941A9">
        <w:t xml:space="preserve"> to protect clients’ or their business interests</w:t>
      </w:r>
      <w:r w:rsidR="00D87EE0">
        <w:t xml:space="preserve"> (</w:t>
      </w:r>
      <w:r w:rsidR="00D87EE0" w:rsidRPr="00D87EE0">
        <w:rPr>
          <w:lang w:val="en-MT"/>
        </w:rPr>
        <w:t>Halawi, &amp; Makwana, 2023)</w:t>
      </w:r>
      <w:r w:rsidR="00F941A9">
        <w:t xml:space="preserve">. </w:t>
      </w:r>
    </w:p>
    <w:p w14:paraId="004A7D2B" w14:textId="77777777" w:rsidR="00D87EE0" w:rsidRDefault="00D87EE0"/>
    <w:p w14:paraId="1720D6E4" w14:textId="3F776913" w:rsidR="009E123A" w:rsidRDefault="00D87EE0">
      <w:r>
        <w:t>Despite Brexit, UK legislator</w:t>
      </w:r>
      <w:r w:rsidR="002F5885">
        <w:t>s</w:t>
      </w:r>
      <w:r>
        <w:t xml:space="preserve"> did not uph</w:t>
      </w:r>
      <w:r w:rsidR="00CD4F5F">
        <w:t>old</w:t>
      </w:r>
      <w:r>
        <w:t xml:space="preserve"> the GDPR as </w:t>
      </w:r>
      <w:r w:rsidR="0095392E">
        <w:t>t</w:t>
      </w:r>
      <w:r w:rsidR="002F5885">
        <w:t>hey</w:t>
      </w:r>
      <w:r w:rsidR="0095392E">
        <w:t xml:space="preserve"> did not want to hinder </w:t>
      </w:r>
      <w:r>
        <w:t>business</w:t>
      </w:r>
      <w:r w:rsidR="0095392E">
        <w:t>es</w:t>
      </w:r>
      <w:r>
        <w:t xml:space="preserve"> that operate </w:t>
      </w:r>
      <w:r w:rsidR="0095392E">
        <w:t xml:space="preserve">with EU countries. </w:t>
      </w:r>
      <w:r w:rsidR="002F5885">
        <w:t>On the other hand, the EU still considers the UK a non-EU country</w:t>
      </w:r>
      <w:r w:rsidR="00FD620B">
        <w:t>, and for this</w:t>
      </w:r>
      <w:r w:rsidR="00EE4C9C">
        <w:t>,</w:t>
      </w:r>
      <w:r w:rsidR="00FD620B">
        <w:t xml:space="preserve"> the EU will evaluate </w:t>
      </w:r>
      <w:r w:rsidR="00CD4F5F">
        <w:t>individuals'</w:t>
      </w:r>
      <w:r w:rsidR="00FD620B">
        <w:t xml:space="preserve"> data protection rights </w:t>
      </w:r>
      <w:r w:rsidR="00CD4F5F">
        <w:t>t</w:t>
      </w:r>
      <w:r w:rsidR="00FD620B">
        <w:t>o d</w:t>
      </w:r>
      <w:r w:rsidR="00CD4F5F">
        <w:t>e</w:t>
      </w:r>
      <w:r w:rsidR="00FD620B">
        <w:t>te</w:t>
      </w:r>
      <w:r w:rsidR="00CD4F5F">
        <w:t>r</w:t>
      </w:r>
      <w:r w:rsidR="00FD620B">
        <w:t>m</w:t>
      </w:r>
      <w:r w:rsidR="00CD4F5F">
        <w:t>in</w:t>
      </w:r>
      <w:r w:rsidR="000410E8">
        <w:t>e the adequacy o</w:t>
      </w:r>
      <w:r w:rsidR="00EE4C9C">
        <w:t>f data transfer</w:t>
      </w:r>
      <w:r w:rsidR="00CD4F5F">
        <w:t>s</w:t>
      </w:r>
      <w:r w:rsidR="00EE4C9C">
        <w:t xml:space="preserve"> to the UK</w:t>
      </w:r>
      <w:r w:rsidR="00CD4F5F">
        <w:t xml:space="preserve"> (</w:t>
      </w:r>
      <w:r w:rsidR="00CD4F5F" w:rsidRPr="00C43E80">
        <w:rPr>
          <w:lang w:val="en-MT"/>
        </w:rPr>
        <w:t>Mazzi</w:t>
      </w:r>
      <w:r w:rsidR="00CD4F5F">
        <w:rPr>
          <w:lang w:val="en-MT"/>
        </w:rPr>
        <w:t xml:space="preserve"> et al.,</w:t>
      </w:r>
      <w:r w:rsidR="00CD4F5F" w:rsidRPr="00C43E80">
        <w:rPr>
          <w:lang w:val="en-MT"/>
        </w:rPr>
        <w:t xml:space="preserve"> 2022)</w:t>
      </w:r>
      <w:r w:rsidR="00EE4C9C">
        <w:t xml:space="preserve">.  </w:t>
      </w:r>
      <w:r w:rsidR="00543D47">
        <w:t xml:space="preserve"> </w:t>
      </w:r>
      <w:r w:rsidR="00C70158">
        <w:t xml:space="preserve"> </w:t>
      </w:r>
    </w:p>
    <w:p w14:paraId="36993799" w14:textId="77777777" w:rsidR="00FA3898" w:rsidRDefault="00FA3898"/>
    <w:p w14:paraId="1EBD4924" w14:textId="01BFEE29" w:rsidR="00204C95" w:rsidRDefault="000D3BF5">
      <w:r>
        <w:t xml:space="preserve">Furthermore, </w:t>
      </w:r>
      <w:r w:rsidR="00C7762B" w:rsidRPr="00257871">
        <w:t xml:space="preserve">Wheeler </w:t>
      </w:r>
      <w:r w:rsidR="0059776D">
        <w:t>and</w:t>
      </w:r>
      <w:r w:rsidR="00C7762B" w:rsidRPr="00257871">
        <w:t xml:space="preserve"> Kennedy </w:t>
      </w:r>
      <w:r>
        <w:t>(</w:t>
      </w:r>
      <w:r w:rsidR="00C7762B" w:rsidRPr="00257871">
        <w:t>2021)</w:t>
      </w:r>
      <w:r>
        <w:t xml:space="preserve"> state that</w:t>
      </w:r>
      <w:r w:rsidR="00724F03">
        <w:t xml:space="preserve"> </w:t>
      </w:r>
      <w:r w:rsidR="00DA7132">
        <w:t>there are a</w:t>
      </w:r>
      <w:r w:rsidR="00724F03">
        <w:t xml:space="preserve"> few other </w:t>
      </w:r>
      <w:r>
        <w:t xml:space="preserve">differences </w:t>
      </w:r>
      <w:r w:rsidR="00407BE3">
        <w:t>to adapt to if UK business</w:t>
      </w:r>
      <w:r w:rsidR="00BA4BF2">
        <w:t>es</w:t>
      </w:r>
      <w:r w:rsidR="00407BE3">
        <w:t xml:space="preserve"> want to operate in the EU. </w:t>
      </w:r>
      <w:r w:rsidR="00BA4BF2">
        <w:t xml:space="preserve">UK businesses must have a representative for both the EU and UK legislation. </w:t>
      </w:r>
      <w:r w:rsidR="00A97B90">
        <w:t xml:space="preserve">If an organisation </w:t>
      </w:r>
      <w:r w:rsidR="00337076" w:rsidRPr="00337076">
        <w:t>trades in both regions and a data breach occurs, it must notify </w:t>
      </w:r>
      <w:r w:rsidR="00D64CAE">
        <w:t>the Information Commissioner’s Office (ICO) and the EU’s Lead Supervisor Au</w:t>
      </w:r>
      <w:r w:rsidR="00B26954">
        <w:t>thority (LSA)</w:t>
      </w:r>
      <w:r w:rsidR="00337076">
        <w:t xml:space="preserve">. </w:t>
      </w:r>
      <w:r w:rsidR="0014439B">
        <w:t>In addition</w:t>
      </w:r>
      <w:r w:rsidR="0005755A" w:rsidRPr="0005755A">
        <w:t> to the adequacy of the UK for EU data transfers and transfers of data between the </w:t>
      </w:r>
      <w:r w:rsidR="005E2FA4">
        <w:t xml:space="preserve">UK and the EU, as discussed previously, a UK establishment that will transfer EU data to </w:t>
      </w:r>
      <w:r w:rsidR="0005755A">
        <w:t xml:space="preserve">another third country must comply with the EU’s GDPR. </w:t>
      </w:r>
      <w:r w:rsidR="00DA7132">
        <w:t>Another point w</w:t>
      </w:r>
      <w:r w:rsidR="00092E79">
        <w:t>h</w:t>
      </w:r>
      <w:r w:rsidR="00DA7132">
        <w:t xml:space="preserve">ere UK organisations must comply with EU regulations is with personal data that has been collected before the end of 2020. </w:t>
      </w:r>
      <w:r w:rsidR="00092E79">
        <w:t>Duri</w:t>
      </w:r>
      <w:r w:rsidR="00DA7132">
        <w:t>n</w:t>
      </w:r>
      <w:r w:rsidR="00092E79">
        <w:t>g</w:t>
      </w:r>
      <w:r w:rsidR="00DA7132">
        <w:t xml:space="preserve"> this period</w:t>
      </w:r>
      <w:r w:rsidR="00204C95">
        <w:t>,</w:t>
      </w:r>
      <w:r w:rsidR="00DA7132">
        <w:t xml:space="preserve"> the UK was still a part of the European Union</w:t>
      </w:r>
      <w:r w:rsidR="00092E79">
        <w:t>;</w:t>
      </w:r>
      <w:r w:rsidR="00204C95">
        <w:t xml:space="preserve"> hence, </w:t>
      </w:r>
      <w:r w:rsidR="00092E79">
        <w:t>i</w:t>
      </w:r>
      <w:r w:rsidR="00DA7132">
        <w:t xml:space="preserve">t still </w:t>
      </w:r>
      <w:r w:rsidR="00092E79">
        <w:t xml:space="preserve">had </w:t>
      </w:r>
      <w:r w:rsidR="00DA7132">
        <w:t>t</w:t>
      </w:r>
      <w:r w:rsidR="00092E79">
        <w:t>o</w:t>
      </w:r>
      <w:r w:rsidR="00DA7132">
        <w:t xml:space="preserve"> comply </w:t>
      </w:r>
      <w:r w:rsidR="00204C95">
        <w:t>wi</w:t>
      </w:r>
      <w:r w:rsidR="00DA7132">
        <w:t>t</w:t>
      </w:r>
      <w:r w:rsidR="00204C95">
        <w:t>h</w:t>
      </w:r>
      <w:r w:rsidR="00DA7132">
        <w:t xml:space="preserve"> this legislation</w:t>
      </w:r>
      <w:r w:rsidR="00092E79">
        <w:t xml:space="preserve"> (Wheeler &amp; Kennedy, 2021)</w:t>
      </w:r>
      <w:r w:rsidR="00DA7132">
        <w:t xml:space="preserve">. </w:t>
      </w:r>
    </w:p>
    <w:p w14:paraId="48827DF4" w14:textId="77777777" w:rsidR="00FA3898" w:rsidRDefault="00FA3898"/>
    <w:p w14:paraId="2404E160" w14:textId="62D24314" w:rsidR="00FA3898" w:rsidRPr="00B2296A" w:rsidRDefault="00FA3898">
      <w:pPr>
        <w:rPr>
          <w:b/>
          <w:bCs w:val="0"/>
        </w:rPr>
      </w:pPr>
      <w:r w:rsidRPr="00B2296A">
        <w:rPr>
          <w:b/>
          <w:bCs w:val="0"/>
        </w:rPr>
        <w:t>References</w:t>
      </w:r>
    </w:p>
    <w:p w14:paraId="51418031" w14:textId="77777777" w:rsidR="006C6FEF" w:rsidRPr="00B2296A" w:rsidRDefault="006C6FEF" w:rsidP="003F31A9">
      <w:pPr>
        <w:pBdr>
          <w:bottom w:val="single" w:sz="12" w:space="8" w:color="auto"/>
        </w:pBdr>
        <w:rPr>
          <w:highlight w:val="yellow"/>
        </w:rPr>
      </w:pPr>
    </w:p>
    <w:p w14:paraId="4ECC1F86" w14:textId="716C0AE1" w:rsidR="00D053C7" w:rsidRPr="00D87EE0" w:rsidRDefault="00D053C7" w:rsidP="003F31A9">
      <w:pPr>
        <w:pBdr>
          <w:bottom w:val="single" w:sz="12" w:space="8" w:color="auto"/>
        </w:pBdr>
        <w:rPr>
          <w:lang w:val="en-MT"/>
        </w:rPr>
      </w:pPr>
      <w:r w:rsidRPr="00D87EE0">
        <w:rPr>
          <w:lang w:val="en-MT"/>
        </w:rPr>
        <w:t xml:space="preserve">Halawi, L. &amp; Makwana, A. (2023) The GDPR and UK GDPR and its impact on US academic institutions. </w:t>
      </w:r>
      <w:r w:rsidRPr="00D87EE0">
        <w:rPr>
          <w:i/>
          <w:iCs/>
          <w:lang w:val="en-MT"/>
        </w:rPr>
        <w:t>Issues in Information Systems</w:t>
      </w:r>
      <w:r w:rsidRPr="00D87EE0">
        <w:rPr>
          <w:lang w:val="en-MT"/>
        </w:rPr>
        <w:t xml:space="preserve"> 24(2)</w:t>
      </w:r>
      <w:r w:rsidR="0047232C" w:rsidRPr="00D87EE0">
        <w:rPr>
          <w:lang w:val="en-MT"/>
        </w:rPr>
        <w:t>:</w:t>
      </w:r>
      <w:r w:rsidRPr="00D87EE0">
        <w:rPr>
          <w:lang w:val="en-MT"/>
        </w:rPr>
        <w:t xml:space="preserve"> 232–241. </w:t>
      </w:r>
      <w:r w:rsidR="0047232C" w:rsidRPr="00D87EE0">
        <w:rPr>
          <w:lang w:val="en-MT"/>
        </w:rPr>
        <w:t xml:space="preserve">DOI: </w:t>
      </w:r>
      <w:hyperlink r:id="rId5" w:history="1">
        <w:r w:rsidR="0047232C" w:rsidRPr="00D87EE0">
          <w:rPr>
            <w:rStyle w:val="Hyperlink"/>
            <w:lang w:val="en-MT"/>
          </w:rPr>
          <w:t>https://doi.org/10.48009/2_iis_2023_120</w:t>
        </w:r>
      </w:hyperlink>
    </w:p>
    <w:p w14:paraId="5D536EEC" w14:textId="77777777" w:rsidR="00B2296A" w:rsidRPr="00B2296A" w:rsidRDefault="00B2296A" w:rsidP="003F31A9">
      <w:pPr>
        <w:pBdr>
          <w:bottom w:val="single" w:sz="12" w:space="8" w:color="auto"/>
        </w:pBdr>
        <w:rPr>
          <w:highlight w:val="yellow"/>
        </w:rPr>
      </w:pPr>
    </w:p>
    <w:p w14:paraId="0AEE9E78" w14:textId="5622381D" w:rsidR="00641032" w:rsidRDefault="00247304" w:rsidP="003F31A9">
      <w:pPr>
        <w:pBdr>
          <w:bottom w:val="single" w:sz="12" w:space="8" w:color="auto"/>
        </w:pBdr>
        <w:rPr>
          <w:rStyle w:val="Hyperlink"/>
          <w:lang w:val="en-MT"/>
        </w:rPr>
      </w:pPr>
      <w:r w:rsidRPr="00C43E80">
        <w:rPr>
          <w:lang w:val="en-MT"/>
        </w:rPr>
        <w:t xml:space="preserve">Mazzi, F., Adonis, A., Cowls, J., </w:t>
      </w:r>
      <w:proofErr w:type="spellStart"/>
      <w:r w:rsidRPr="00C43E80">
        <w:rPr>
          <w:lang w:val="en-MT"/>
        </w:rPr>
        <w:t>Tsamados</w:t>
      </w:r>
      <w:proofErr w:type="spellEnd"/>
      <w:r w:rsidRPr="00C43E80">
        <w:rPr>
          <w:lang w:val="en-MT"/>
        </w:rPr>
        <w:t xml:space="preserve">, A., Taddeo, M. &amp; </w:t>
      </w:r>
      <w:proofErr w:type="spellStart"/>
      <w:r w:rsidRPr="00C43E80">
        <w:rPr>
          <w:lang w:val="en-MT"/>
        </w:rPr>
        <w:t>Floridi</w:t>
      </w:r>
      <w:proofErr w:type="spellEnd"/>
      <w:r w:rsidRPr="00C43E80">
        <w:rPr>
          <w:lang w:val="en-MT"/>
        </w:rPr>
        <w:t xml:space="preserve">, L. (2022) The UK reform of data protection: key changes and their ethical, social and legal implications. </w:t>
      </w:r>
      <w:r w:rsidRPr="00C43E80">
        <w:rPr>
          <w:i/>
          <w:iCs/>
          <w:lang w:val="en-MT"/>
        </w:rPr>
        <w:t>International Journal of Law and Information Technology</w:t>
      </w:r>
      <w:r w:rsidRPr="00C43E80">
        <w:rPr>
          <w:lang w:val="en-MT"/>
        </w:rPr>
        <w:t xml:space="preserve"> 30(3)</w:t>
      </w:r>
      <w:r w:rsidR="0047232C" w:rsidRPr="00C43E80">
        <w:rPr>
          <w:lang w:val="en-MT"/>
        </w:rPr>
        <w:t>:</w:t>
      </w:r>
      <w:r w:rsidRPr="00C43E80">
        <w:rPr>
          <w:lang w:val="en-MT"/>
        </w:rPr>
        <w:t xml:space="preserve"> 269–279. </w:t>
      </w:r>
      <w:r w:rsidR="0047232C" w:rsidRPr="00C43E80">
        <w:rPr>
          <w:lang w:val="en-MT"/>
        </w:rPr>
        <w:t xml:space="preserve">DOI: </w:t>
      </w:r>
      <w:hyperlink r:id="rId6" w:history="1">
        <w:r w:rsidR="0047232C" w:rsidRPr="00C43E80">
          <w:rPr>
            <w:rStyle w:val="Hyperlink"/>
            <w:lang w:val="en-MT"/>
          </w:rPr>
          <w:t>https://doi.org/10.1093/ijlit/eaac024</w:t>
        </w:r>
      </w:hyperlink>
    </w:p>
    <w:p w14:paraId="5D544BA0" w14:textId="77777777" w:rsidR="00257871" w:rsidRDefault="00257871" w:rsidP="003F31A9">
      <w:pPr>
        <w:pBdr>
          <w:bottom w:val="single" w:sz="12" w:space="8" w:color="auto"/>
        </w:pBdr>
        <w:rPr>
          <w:rStyle w:val="Hyperlink"/>
          <w:lang w:val="en-MT"/>
        </w:rPr>
      </w:pPr>
    </w:p>
    <w:p w14:paraId="0397DC49" w14:textId="43035616" w:rsidR="00257871" w:rsidRPr="00257871" w:rsidRDefault="00257871" w:rsidP="003F31A9">
      <w:pPr>
        <w:pBdr>
          <w:bottom w:val="single" w:sz="12" w:space="8" w:color="auto"/>
        </w:pBdr>
      </w:pPr>
      <w:r w:rsidRPr="00257871">
        <w:t xml:space="preserve">Wheeler, P. &amp; Kennedy, M. M. (2021) Adapting to the UK GDPR - 8 pressing concerns. </w:t>
      </w:r>
      <w:r w:rsidRPr="00257871">
        <w:rPr>
          <w:i/>
          <w:iCs/>
        </w:rPr>
        <w:t>Privacy &amp; Data Protection</w:t>
      </w:r>
      <w:r w:rsidRPr="00257871">
        <w:t xml:space="preserve"> 21(3)</w:t>
      </w:r>
      <w:r w:rsidR="00C7762B">
        <w:t>:</w:t>
      </w:r>
      <w:r w:rsidRPr="00257871">
        <w:t xml:space="preserve"> 3–4.</w:t>
      </w:r>
    </w:p>
    <w:p w14:paraId="6738B67A" w14:textId="77777777" w:rsidR="00257871" w:rsidRPr="008F2C2E" w:rsidRDefault="00257871" w:rsidP="003F31A9">
      <w:pPr>
        <w:pBdr>
          <w:bottom w:val="single" w:sz="12" w:space="8" w:color="auto"/>
        </w:pBdr>
        <w:rPr>
          <w:lang w:val="en-MT"/>
        </w:rPr>
      </w:pPr>
    </w:p>
    <w:sectPr w:rsidR="00257871" w:rsidRPr="008F2C2E" w:rsidSect="007E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728"/>
    <w:multiLevelType w:val="hybridMultilevel"/>
    <w:tmpl w:val="90A6A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2BE2"/>
    <w:multiLevelType w:val="hybridMultilevel"/>
    <w:tmpl w:val="4EF68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50B62"/>
    <w:multiLevelType w:val="hybridMultilevel"/>
    <w:tmpl w:val="E2B253F0"/>
    <w:lvl w:ilvl="0" w:tplc="EE3C1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55701"/>
    <w:multiLevelType w:val="multilevel"/>
    <w:tmpl w:val="1AEE7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466A0"/>
    <w:multiLevelType w:val="hybridMultilevel"/>
    <w:tmpl w:val="B41C0C6A"/>
    <w:lvl w:ilvl="0" w:tplc="EE3C1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F1E9A"/>
    <w:multiLevelType w:val="hybridMultilevel"/>
    <w:tmpl w:val="4A724EFE"/>
    <w:lvl w:ilvl="0" w:tplc="EE3C1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03F09"/>
    <w:multiLevelType w:val="hybridMultilevel"/>
    <w:tmpl w:val="D4B02344"/>
    <w:lvl w:ilvl="0" w:tplc="EE3C1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53094">
    <w:abstractNumId w:val="3"/>
  </w:num>
  <w:num w:numId="2" w16cid:durableId="214392714">
    <w:abstractNumId w:val="0"/>
  </w:num>
  <w:num w:numId="3" w16cid:durableId="1620257830">
    <w:abstractNumId w:val="4"/>
  </w:num>
  <w:num w:numId="4" w16cid:durableId="1565287406">
    <w:abstractNumId w:val="6"/>
  </w:num>
  <w:num w:numId="5" w16cid:durableId="1977374254">
    <w:abstractNumId w:val="5"/>
  </w:num>
  <w:num w:numId="6" w16cid:durableId="115805518">
    <w:abstractNumId w:val="2"/>
  </w:num>
  <w:num w:numId="7" w16cid:durableId="182157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CA"/>
    <w:rsid w:val="000143AB"/>
    <w:rsid w:val="000410E8"/>
    <w:rsid w:val="00053902"/>
    <w:rsid w:val="0005755A"/>
    <w:rsid w:val="00092E79"/>
    <w:rsid w:val="000D3BF5"/>
    <w:rsid w:val="0014439B"/>
    <w:rsid w:val="00174722"/>
    <w:rsid w:val="001800EF"/>
    <w:rsid w:val="001F2545"/>
    <w:rsid w:val="00204C95"/>
    <w:rsid w:val="00235534"/>
    <w:rsid w:val="00247304"/>
    <w:rsid w:val="00257871"/>
    <w:rsid w:val="002648A0"/>
    <w:rsid w:val="002D5612"/>
    <w:rsid w:val="002F5885"/>
    <w:rsid w:val="00337076"/>
    <w:rsid w:val="00390B4B"/>
    <w:rsid w:val="003F31A9"/>
    <w:rsid w:val="00401E33"/>
    <w:rsid w:val="00407BE3"/>
    <w:rsid w:val="004658CA"/>
    <w:rsid w:val="0047232C"/>
    <w:rsid w:val="00543D47"/>
    <w:rsid w:val="005502C5"/>
    <w:rsid w:val="0059776D"/>
    <w:rsid w:val="005E2FA4"/>
    <w:rsid w:val="00634319"/>
    <w:rsid w:val="00641032"/>
    <w:rsid w:val="00666741"/>
    <w:rsid w:val="006C6FEF"/>
    <w:rsid w:val="00724F03"/>
    <w:rsid w:val="007E1D93"/>
    <w:rsid w:val="008F2C2E"/>
    <w:rsid w:val="0095392E"/>
    <w:rsid w:val="009E123A"/>
    <w:rsid w:val="00A32D1B"/>
    <w:rsid w:val="00A35454"/>
    <w:rsid w:val="00A97B90"/>
    <w:rsid w:val="00AE2562"/>
    <w:rsid w:val="00B2296A"/>
    <w:rsid w:val="00B26954"/>
    <w:rsid w:val="00B30BBF"/>
    <w:rsid w:val="00B90A94"/>
    <w:rsid w:val="00BA4BF2"/>
    <w:rsid w:val="00BD183A"/>
    <w:rsid w:val="00BD3464"/>
    <w:rsid w:val="00C43E80"/>
    <w:rsid w:val="00C70158"/>
    <w:rsid w:val="00C7762B"/>
    <w:rsid w:val="00C8774A"/>
    <w:rsid w:val="00C933C5"/>
    <w:rsid w:val="00CB4046"/>
    <w:rsid w:val="00CC0F23"/>
    <w:rsid w:val="00CD23A6"/>
    <w:rsid w:val="00CD4F5F"/>
    <w:rsid w:val="00CD6CE0"/>
    <w:rsid w:val="00CF433E"/>
    <w:rsid w:val="00D053C7"/>
    <w:rsid w:val="00D10746"/>
    <w:rsid w:val="00D64CAE"/>
    <w:rsid w:val="00D87EE0"/>
    <w:rsid w:val="00DA7132"/>
    <w:rsid w:val="00DC1496"/>
    <w:rsid w:val="00E34C5A"/>
    <w:rsid w:val="00E84488"/>
    <w:rsid w:val="00E93A4E"/>
    <w:rsid w:val="00E971D7"/>
    <w:rsid w:val="00EE4C9C"/>
    <w:rsid w:val="00F01AA0"/>
    <w:rsid w:val="00F10A2D"/>
    <w:rsid w:val="00F941A9"/>
    <w:rsid w:val="00FA3898"/>
    <w:rsid w:val="00FD256E"/>
    <w:rsid w:val="00F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AD77A"/>
  <w15:chartTrackingRefBased/>
  <w15:docId w15:val="{8155EF64-79F7-4EDD-A245-C43EDF82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CA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5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C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ijlit/eaac024" TargetMode="External"/><Relationship Id="rId5" Type="http://schemas.openxmlformats.org/officeDocument/2006/relationships/hyperlink" Target="https://doi.org/10.48009/2_iis_2023_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1998</Characters>
  <Application>Microsoft Office Word</Application>
  <DocSecurity>0</DocSecurity>
  <Lines>45</Lines>
  <Paragraphs>10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Caruana</dc:creator>
  <cp:keywords/>
  <dc:description/>
  <cp:lastModifiedBy>Andrew Caruana</cp:lastModifiedBy>
  <cp:revision>44</cp:revision>
  <dcterms:created xsi:type="dcterms:W3CDTF">2024-10-15T17:37:00Z</dcterms:created>
  <dcterms:modified xsi:type="dcterms:W3CDTF">2024-10-19T08:07:00Z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17ccbaf0-f5b1-41e9-bb86-471f5824a110</vt:lpwstr>
  </property>
</Properties>
</file>