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4680" w14:textId="437BE677" w:rsidR="00D767D2" w:rsidRPr="00D767D2" w:rsidRDefault="00D767D2" w:rsidP="00D767D2">
      <w:pPr>
        <w:spacing w:after="0" w:line="240" w:lineRule="auto"/>
        <w:rPr>
          <w:rFonts w:ascii="Calibri" w:eastAsia="Times New Roman" w:hAnsi="Calibri" w:cs="Calibri"/>
          <w:kern w:val="0"/>
          <w:sz w:val="22"/>
          <w:szCs w:val="22"/>
          <w14:ligatures w14:val="none"/>
        </w:rPr>
      </w:pPr>
    </w:p>
    <w:p w14:paraId="4E973F6B" w14:textId="77777777" w:rsidR="00D767D2" w:rsidRPr="00D767D2" w:rsidRDefault="00D767D2" w:rsidP="00D767D2">
      <w:pPr>
        <w:pStyle w:val="Heading1"/>
      </w:pPr>
      <w:r w:rsidRPr="00D767D2">
        <w:t>Hamsters &amp; Monsters — Danny Beck Deal Term Sheet</w:t>
      </w:r>
    </w:p>
    <w:p w14:paraId="1B68B813" w14:textId="77777777" w:rsidR="00D767D2" w:rsidRPr="00D767D2" w:rsidRDefault="00D767D2" w:rsidP="00D767D2">
      <w:pPr>
        <w:spacing w:before="100" w:beforeAutospacing="1" w:after="100" w:afterAutospacing="1" w:line="240" w:lineRule="auto"/>
        <w:outlineLvl w:val="1"/>
        <w:rPr>
          <w:rFonts w:ascii="Calibri" w:eastAsia="Times New Roman" w:hAnsi="Calibri" w:cs="Calibri"/>
          <w:b/>
          <w:bCs/>
          <w:color w:val="000000"/>
          <w:kern w:val="0"/>
          <w:sz w:val="22"/>
          <w:szCs w:val="22"/>
          <w14:ligatures w14:val="none"/>
        </w:rPr>
      </w:pPr>
      <w:r w:rsidRPr="00D767D2">
        <w:rPr>
          <w:rFonts w:ascii="Calibri" w:eastAsia="Times New Roman" w:hAnsi="Calibri" w:cs="Calibri"/>
          <w:b/>
          <w:bCs/>
          <w:color w:val="000000"/>
          <w:kern w:val="0"/>
          <w:sz w:val="22"/>
          <w:szCs w:val="22"/>
          <w14:ligatures w14:val="none"/>
        </w:rPr>
        <w:t>Commission + Exclusive Field License of “Hamsters &amp; Monsters” Universe IP</w:t>
      </w:r>
    </w:p>
    <w:p w14:paraId="1B6A8054"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i/>
          <w:iCs/>
          <w:color w:val="000000"/>
          <w:kern w:val="0"/>
          <w:sz w:val="22"/>
          <w:szCs w:val="22"/>
          <w14:ligatures w14:val="none"/>
        </w:rPr>
        <w:t>(Negotiation Draft — Non-Binding except as expressly stated)</w:t>
      </w:r>
    </w:p>
    <w:p w14:paraId="5FC9DEAC" w14:textId="77777777" w:rsidR="00D767D2" w:rsidRPr="00D767D2" w:rsidRDefault="008113BB"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0819DD2F">
          <v:rect id="_x0000_i1037" alt="" style="width:468pt;height:.05pt;mso-width-percent:0;mso-height-percent:0;mso-width-percent:0;mso-height-percent:0" o:hralign="center" o:hrstd="t" o:hr="t" fillcolor="#a0a0a0" stroked="f"/>
        </w:pict>
      </w:r>
    </w:p>
    <w:p w14:paraId="5E704340" w14:textId="77777777" w:rsidR="00D767D2" w:rsidRPr="00D767D2" w:rsidRDefault="00D767D2" w:rsidP="00D767D2">
      <w:pPr>
        <w:pStyle w:val="Heading2"/>
        <w:rPr>
          <w:rFonts w:eastAsia="Times New Roman"/>
        </w:rPr>
      </w:pPr>
      <w:r w:rsidRPr="00D767D2">
        <w:rPr>
          <w:rFonts w:eastAsia="Times New Roman"/>
        </w:rPr>
        <w:t>0) Parties</w:t>
      </w:r>
    </w:p>
    <w:p w14:paraId="13D0D521"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Publisher/Licensee:</w:t>
      </w:r>
      <w:r w:rsidRPr="00D767D2">
        <w:rPr>
          <w:rFonts w:ascii="Calibri" w:eastAsia="Times New Roman" w:hAnsi="Calibri" w:cs="Calibri"/>
          <w:color w:val="000000"/>
          <w:kern w:val="0"/>
          <w:sz w:val="22"/>
          <w:szCs w:val="22"/>
          <w14:ligatures w14:val="none"/>
        </w:rPr>
        <w:t> Design Play Labs, LLC (“Publisher”)</w:t>
      </w:r>
      <w:r w:rsidRPr="00D767D2">
        <w:rPr>
          <w:rFonts w:ascii="Calibri" w:eastAsia="Times New Roman" w:hAnsi="Calibri" w:cs="Calibri"/>
          <w:color w:val="000000"/>
          <w:kern w:val="0"/>
          <w:sz w:val="22"/>
          <w:szCs w:val="22"/>
          <w14:ligatures w14:val="none"/>
        </w:rPr>
        <w:br/>
      </w:r>
      <w:r w:rsidRPr="00D767D2">
        <w:rPr>
          <w:rFonts w:ascii="Calibri" w:eastAsia="Times New Roman" w:hAnsi="Calibri" w:cs="Calibri"/>
          <w:b/>
          <w:bCs/>
          <w:color w:val="000000"/>
          <w:kern w:val="0"/>
          <w:sz w:val="22"/>
          <w:szCs w:val="22"/>
          <w14:ligatures w14:val="none"/>
        </w:rPr>
        <w:t>Artist / IP Owner / Licensor:</w:t>
      </w:r>
      <w:r w:rsidRPr="00D767D2">
        <w:rPr>
          <w:rFonts w:ascii="Calibri" w:eastAsia="Times New Roman" w:hAnsi="Calibri" w:cs="Calibri"/>
          <w:color w:val="000000"/>
          <w:kern w:val="0"/>
          <w:sz w:val="22"/>
          <w:szCs w:val="22"/>
          <w14:ligatures w14:val="none"/>
        </w:rPr>
        <w:t> Danny Beck (“Licensor”)</w:t>
      </w:r>
    </w:p>
    <w:p w14:paraId="4D8D1586" w14:textId="77777777" w:rsidR="00D767D2" w:rsidRPr="00D767D2" w:rsidRDefault="00D767D2" w:rsidP="00D767D2">
      <w:pPr>
        <w:pStyle w:val="Heading2"/>
        <w:rPr>
          <w:rFonts w:eastAsia="Times New Roman"/>
        </w:rPr>
      </w:pPr>
      <w:r w:rsidRPr="00D767D2">
        <w:rPr>
          <w:rFonts w:eastAsia="Times New Roman"/>
        </w:rPr>
        <w:t>1) Purpose</w:t>
      </w:r>
    </w:p>
    <w:p w14:paraId="387F9AE9"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This term sheet summarizes the business terms for a definitive </w:t>
      </w:r>
      <w:r w:rsidRPr="00D767D2">
        <w:rPr>
          <w:rFonts w:ascii="Calibri" w:eastAsia="Times New Roman" w:hAnsi="Calibri" w:cs="Calibri"/>
          <w:b/>
          <w:bCs/>
          <w:color w:val="000000"/>
          <w:kern w:val="0"/>
          <w:sz w:val="22"/>
          <w:szCs w:val="22"/>
          <w14:ligatures w14:val="none"/>
        </w:rPr>
        <w:t>Commission Agreement + Exclusive License Agreement</w:t>
      </w:r>
      <w:r w:rsidRPr="00D767D2">
        <w:rPr>
          <w:rFonts w:ascii="Calibri" w:eastAsia="Times New Roman" w:hAnsi="Calibri" w:cs="Calibri"/>
          <w:color w:val="000000"/>
          <w:kern w:val="0"/>
          <w:sz w:val="22"/>
          <w:szCs w:val="22"/>
          <w14:ligatures w14:val="none"/>
        </w:rPr>
        <w:t> covering (i) commissioned creative services and (ii) an exclusive, field-limited license to the </w:t>
      </w:r>
      <w:r w:rsidRPr="00D767D2">
        <w:rPr>
          <w:rFonts w:ascii="Calibri" w:eastAsia="Times New Roman" w:hAnsi="Calibri" w:cs="Calibri"/>
          <w:b/>
          <w:bCs/>
          <w:color w:val="000000"/>
          <w:kern w:val="0"/>
          <w:sz w:val="22"/>
          <w:szCs w:val="22"/>
          <w14:ligatures w14:val="none"/>
        </w:rPr>
        <w:t>Hamsters &amp; Monsters</w:t>
      </w:r>
      <w:r w:rsidRPr="00D767D2">
        <w:rPr>
          <w:rFonts w:ascii="Calibri" w:eastAsia="Times New Roman" w:hAnsi="Calibri" w:cs="Calibri"/>
          <w:color w:val="000000"/>
          <w:kern w:val="0"/>
          <w:sz w:val="22"/>
          <w:szCs w:val="22"/>
          <w14:ligatures w14:val="none"/>
        </w:rPr>
        <w:t> universe IP for use in a tabletop card game product line (the “Definitive Agreement”).</w:t>
      </w:r>
    </w:p>
    <w:p w14:paraId="12669F55" w14:textId="77777777" w:rsidR="00D767D2" w:rsidRPr="00D767D2" w:rsidRDefault="00D767D2" w:rsidP="00D767D2">
      <w:pPr>
        <w:pStyle w:val="Heading2"/>
        <w:rPr>
          <w:rFonts w:eastAsia="Times New Roman"/>
        </w:rPr>
      </w:pPr>
      <w:r w:rsidRPr="00D767D2">
        <w:rPr>
          <w:rFonts w:eastAsia="Times New Roman"/>
        </w:rPr>
        <w:t>2) Definitions</w:t>
      </w:r>
    </w:p>
    <w:p w14:paraId="05FB4CAF"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Licensed Property</w:t>
      </w:r>
      <w:r w:rsidRPr="00D767D2">
        <w:rPr>
          <w:rFonts w:ascii="Calibri" w:eastAsia="Times New Roman" w:hAnsi="Calibri" w:cs="Calibri"/>
          <w:color w:val="000000"/>
          <w:kern w:val="0"/>
          <w:sz w:val="22"/>
          <w:szCs w:val="22"/>
          <w14:ligatures w14:val="none"/>
        </w:rPr>
        <w:t> means Licensor’s pre-existing </w:t>
      </w:r>
      <w:r w:rsidRPr="00D767D2">
        <w:rPr>
          <w:rFonts w:ascii="Calibri" w:eastAsia="Times New Roman" w:hAnsi="Calibri" w:cs="Calibri"/>
          <w:b/>
          <w:bCs/>
          <w:color w:val="000000"/>
          <w:kern w:val="0"/>
          <w:sz w:val="22"/>
          <w:szCs w:val="22"/>
          <w14:ligatures w14:val="none"/>
        </w:rPr>
        <w:t>Hamsters &amp; Monsters</w:t>
      </w:r>
      <w:r w:rsidRPr="00D767D2">
        <w:rPr>
          <w:rFonts w:ascii="Calibri" w:eastAsia="Times New Roman" w:hAnsi="Calibri" w:cs="Calibri"/>
          <w:color w:val="000000"/>
          <w:kern w:val="0"/>
          <w:sz w:val="22"/>
          <w:szCs w:val="22"/>
          <w14:ligatures w14:val="none"/>
        </w:rPr>
        <w:t> universe IP as listed in </w:t>
      </w:r>
      <w:r w:rsidRPr="00D767D2">
        <w:rPr>
          <w:rFonts w:ascii="Calibri" w:eastAsia="Times New Roman" w:hAnsi="Calibri" w:cs="Calibri"/>
          <w:b/>
          <w:bCs/>
          <w:color w:val="000000"/>
          <w:kern w:val="0"/>
          <w:sz w:val="22"/>
          <w:szCs w:val="22"/>
          <w14:ligatures w14:val="none"/>
        </w:rPr>
        <w:t>Exhibit B (Canon List)</w:t>
      </w:r>
      <w:r w:rsidRPr="00D767D2">
        <w:rPr>
          <w:rFonts w:ascii="Calibri" w:eastAsia="Times New Roman" w:hAnsi="Calibri" w:cs="Calibri"/>
          <w:color w:val="000000"/>
          <w:kern w:val="0"/>
          <w:sz w:val="22"/>
          <w:szCs w:val="22"/>
          <w14:ligatures w14:val="none"/>
        </w:rPr>
        <w:t> plus any additional items expressly agreed in writing.</w:t>
      </w:r>
    </w:p>
    <w:p w14:paraId="14B99005"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Product</w:t>
      </w:r>
      <w:r w:rsidRPr="00D767D2">
        <w:rPr>
          <w:rFonts w:ascii="Calibri" w:eastAsia="Times New Roman" w:hAnsi="Calibri" w:cs="Calibri"/>
          <w:color w:val="000000"/>
          <w:kern w:val="0"/>
          <w:sz w:val="22"/>
          <w:szCs w:val="22"/>
          <w14:ligatures w14:val="none"/>
        </w:rPr>
        <w:t> means </w:t>
      </w:r>
      <w:r w:rsidRPr="00D767D2">
        <w:rPr>
          <w:rFonts w:ascii="Calibri" w:eastAsia="Times New Roman" w:hAnsi="Calibri" w:cs="Calibri"/>
          <w:b/>
          <w:bCs/>
          <w:color w:val="000000"/>
          <w:kern w:val="0"/>
          <w:sz w:val="22"/>
          <w:szCs w:val="22"/>
          <w14:ligatures w14:val="none"/>
        </w:rPr>
        <w:t>Hamsters &amp; Monsters: Untitled Card Game</w:t>
      </w:r>
      <w:r w:rsidRPr="00D767D2">
        <w:rPr>
          <w:rFonts w:ascii="Calibri" w:eastAsia="Times New Roman" w:hAnsi="Calibri" w:cs="Calibri"/>
          <w:color w:val="000000"/>
          <w:kern w:val="0"/>
          <w:sz w:val="22"/>
          <w:szCs w:val="22"/>
          <w14:ligatures w14:val="none"/>
        </w:rPr>
        <w:t> (base game).</w:t>
      </w:r>
    </w:p>
    <w:p w14:paraId="2DD6DD5E"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Licensed Products</w:t>
      </w:r>
      <w:r w:rsidRPr="00D767D2">
        <w:rPr>
          <w:rFonts w:ascii="Calibri" w:eastAsia="Times New Roman" w:hAnsi="Calibri" w:cs="Calibri"/>
          <w:color w:val="000000"/>
          <w:kern w:val="0"/>
          <w:sz w:val="22"/>
          <w:szCs w:val="22"/>
          <w14:ligatures w14:val="none"/>
        </w:rPr>
        <w:t> means the Product plus expansions and any other items expressly listed in Exhibit B.</w:t>
      </w:r>
    </w:p>
    <w:p w14:paraId="26F738EA"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Field of Use</w:t>
      </w:r>
      <w:r w:rsidRPr="00D767D2">
        <w:rPr>
          <w:rFonts w:ascii="Calibri" w:eastAsia="Times New Roman" w:hAnsi="Calibri" w:cs="Calibri"/>
          <w:color w:val="000000"/>
          <w:kern w:val="0"/>
          <w:sz w:val="22"/>
          <w:szCs w:val="22"/>
          <w14:ligatures w14:val="none"/>
        </w:rPr>
        <w:t> means tabletop game products (including cards, packaging, rules) and related marketing for Licensed Products. All other fields are excluded unless agreed in writing.</w:t>
      </w:r>
    </w:p>
    <w:p w14:paraId="754F33B5"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KS1</w:t>
      </w:r>
      <w:r w:rsidRPr="00D767D2">
        <w:rPr>
          <w:rFonts w:ascii="Calibri" w:eastAsia="Times New Roman" w:hAnsi="Calibri" w:cs="Calibri"/>
          <w:color w:val="000000"/>
          <w:kern w:val="0"/>
          <w:sz w:val="22"/>
          <w:szCs w:val="22"/>
          <w14:ligatures w14:val="none"/>
        </w:rPr>
        <w:t> means the first crowdfunding campaign for the Product, including pledge manager/late pledges attributable to KS1.</w:t>
      </w:r>
    </w:p>
    <w:p w14:paraId="7A7FAAA0"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KS2</w:t>
      </w:r>
      <w:r w:rsidRPr="00D767D2">
        <w:rPr>
          <w:rFonts w:ascii="Calibri" w:eastAsia="Times New Roman" w:hAnsi="Calibri" w:cs="Calibri"/>
          <w:color w:val="000000"/>
          <w:kern w:val="0"/>
          <w:sz w:val="22"/>
          <w:szCs w:val="22"/>
          <w14:ligatures w14:val="none"/>
        </w:rPr>
        <w:t> means a second crowdfunding campaign including (i) a reprint of the Product and (ii) an expansion set in the Licensed Property universe.</w:t>
      </w:r>
    </w:p>
    <w:p w14:paraId="0EC1B058"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Net Receipts</w:t>
      </w:r>
      <w:r w:rsidRPr="00D767D2">
        <w:rPr>
          <w:rFonts w:ascii="Calibri" w:eastAsia="Times New Roman" w:hAnsi="Calibri" w:cs="Calibri"/>
          <w:color w:val="000000"/>
          <w:kern w:val="0"/>
          <w:sz w:val="22"/>
          <w:szCs w:val="22"/>
          <w14:ligatures w14:val="none"/>
        </w:rPr>
        <w:t> has the meaning set forth in Section 6.4 and is illustrated in Exhibit C.</w:t>
      </w:r>
    </w:p>
    <w:p w14:paraId="3796C8F5"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lastRenderedPageBreak/>
        <w:t>Franchise Marks</w:t>
      </w:r>
      <w:r w:rsidRPr="00D767D2">
        <w:rPr>
          <w:rFonts w:ascii="Calibri" w:eastAsia="Times New Roman" w:hAnsi="Calibri" w:cs="Calibri"/>
          <w:color w:val="000000"/>
          <w:kern w:val="0"/>
          <w:sz w:val="22"/>
          <w:szCs w:val="22"/>
          <w14:ligatures w14:val="none"/>
        </w:rPr>
        <w:t> means the trademarks, service marks, logos, and trade dress associated with “Hamsters &amp; Monsters” as owned by Licensor, including the name “Hamsters &amp; Monsters” and any associated logos listed in Exhibit B.</w:t>
      </w:r>
    </w:p>
    <w:p w14:paraId="2EA82031"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Product Marks</w:t>
      </w:r>
      <w:r w:rsidRPr="00D767D2">
        <w:rPr>
          <w:rFonts w:ascii="Calibri" w:eastAsia="Times New Roman" w:hAnsi="Calibri" w:cs="Calibri"/>
          <w:color w:val="000000"/>
          <w:kern w:val="0"/>
          <w:sz w:val="22"/>
          <w:szCs w:val="22"/>
          <w14:ligatures w14:val="none"/>
        </w:rPr>
        <w:t> means the trademarks, logos, and trade dress created or adopted by Publisher to identify the Product and Licensed Products (e.g., “Hamsters &amp; Monsters: [Game Title]” and the Product logo), excluding the Franchise Marks.</w:t>
      </w:r>
    </w:p>
    <w:p w14:paraId="02E7D2B1"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Captured (or “Captured Gross Funding”)</w:t>
      </w:r>
      <w:r w:rsidRPr="00D767D2">
        <w:rPr>
          <w:rFonts w:ascii="Calibri" w:eastAsia="Times New Roman" w:hAnsi="Calibri" w:cs="Calibri"/>
          <w:color w:val="000000"/>
          <w:kern w:val="0"/>
          <w:sz w:val="22"/>
          <w:szCs w:val="22"/>
          <w14:ligatures w14:val="none"/>
        </w:rPr>
        <w:t> means the gross amount of funds actually received by Publisher from Kickstarter and any pledge manager/late pledge platform for the applicable campaign, less refunds and chargebacks (but before deducting platform and payment processing fees). For clarity, Captured Gross Funding includes late pledges and pledge manager receipts attributable to the applicable campaign.</w:t>
      </w:r>
    </w:p>
    <w:p w14:paraId="128A9071"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Term</w:t>
      </w:r>
      <w:r w:rsidRPr="00D767D2">
        <w:rPr>
          <w:rFonts w:ascii="Calibri" w:eastAsia="Times New Roman" w:hAnsi="Calibri" w:cs="Calibri"/>
          <w:color w:val="000000"/>
          <w:kern w:val="0"/>
          <w:sz w:val="22"/>
          <w:szCs w:val="22"/>
          <w14:ligatures w14:val="none"/>
        </w:rPr>
        <w:t> means the term of the license as described in Section 7.</w:t>
      </w:r>
    </w:p>
    <w:p w14:paraId="68D4051C"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Effective Date</w:t>
      </w:r>
      <w:r w:rsidRPr="00D767D2">
        <w:rPr>
          <w:rFonts w:ascii="Calibri" w:eastAsia="Times New Roman" w:hAnsi="Calibri" w:cs="Calibri"/>
          <w:color w:val="000000"/>
          <w:kern w:val="0"/>
          <w:sz w:val="22"/>
          <w:szCs w:val="22"/>
          <w14:ligatures w14:val="none"/>
        </w:rPr>
        <w:t> means the date the Definitive Agreement is executed by both parties.</w:t>
      </w:r>
    </w:p>
    <w:p w14:paraId="28D4EDA6" w14:textId="77777777" w:rsidR="00D767D2" w:rsidRPr="00D767D2" w:rsidRDefault="008113BB"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60CFE2FB">
          <v:rect id="_x0000_i1036" alt="" style="width:468pt;height:.05pt;mso-width-percent:0;mso-height-percent:0;mso-width-percent:0;mso-height-percent:0" o:hralign="center" o:hrstd="t" o:hr="t" fillcolor="#a0a0a0" stroked="f"/>
        </w:pict>
      </w:r>
    </w:p>
    <w:p w14:paraId="0BADB10E" w14:textId="77777777" w:rsidR="00D767D2" w:rsidRPr="00D767D2" w:rsidRDefault="00D767D2" w:rsidP="00D767D2">
      <w:pPr>
        <w:pStyle w:val="Heading2"/>
        <w:rPr>
          <w:rFonts w:eastAsia="Times New Roman"/>
        </w:rPr>
      </w:pPr>
      <w:r w:rsidRPr="00D767D2">
        <w:rPr>
          <w:rFonts w:eastAsia="Times New Roman"/>
        </w:rPr>
        <w:t>3) Commissioned Works (Services)</w:t>
      </w:r>
    </w:p>
    <w:p w14:paraId="216E1EF5"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Licensor will create the deliverables listed in </w:t>
      </w:r>
      <w:r w:rsidRPr="00D767D2">
        <w:rPr>
          <w:rFonts w:ascii="Calibri" w:eastAsia="Times New Roman" w:hAnsi="Calibri" w:cs="Calibri"/>
          <w:b/>
          <w:bCs/>
          <w:color w:val="000000"/>
          <w:kern w:val="0"/>
          <w:sz w:val="22"/>
          <w:szCs w:val="22"/>
          <w14:ligatures w14:val="none"/>
        </w:rPr>
        <w:t>Exhibit A (Deliverables, Specs, Schedule)</w:t>
      </w:r>
      <w:r w:rsidRPr="00D767D2">
        <w:rPr>
          <w:rFonts w:ascii="Calibri" w:eastAsia="Times New Roman" w:hAnsi="Calibri" w:cs="Calibri"/>
          <w:color w:val="000000"/>
          <w:kern w:val="0"/>
          <w:sz w:val="22"/>
          <w:szCs w:val="22"/>
          <w14:ligatures w14:val="none"/>
        </w:rPr>
        <w:t> for the fixed fees stated there, plus any approved hourly work under Section 3.4.</w:t>
      </w:r>
    </w:p>
    <w:p w14:paraId="18A671AD" w14:textId="77777777" w:rsidR="00D767D2" w:rsidRPr="00D767D2" w:rsidRDefault="00D767D2" w:rsidP="007131E7">
      <w:pPr>
        <w:pStyle w:val="Heading3"/>
        <w:rPr>
          <w:rFonts w:eastAsia="Times New Roman"/>
        </w:rPr>
      </w:pPr>
      <w:r w:rsidRPr="00D767D2">
        <w:rPr>
          <w:rFonts w:eastAsia="Times New Roman"/>
        </w:rPr>
        <w:t>3.1 Revisions</w:t>
      </w:r>
    </w:p>
    <w:p w14:paraId="4463B710"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Included revisions: </w:t>
      </w:r>
      <w:r w:rsidRPr="00D767D2">
        <w:rPr>
          <w:rFonts w:ascii="Calibri" w:eastAsia="Times New Roman" w:hAnsi="Calibri" w:cs="Calibri"/>
          <w:b/>
          <w:bCs/>
          <w:color w:val="000000"/>
          <w:kern w:val="0"/>
          <w:sz w:val="22"/>
          <w:szCs w:val="22"/>
          <w14:ligatures w14:val="none"/>
        </w:rPr>
        <w:t>two (2) rounds per deliverable</w:t>
      </w:r>
      <w:r w:rsidRPr="00D767D2">
        <w:rPr>
          <w:rFonts w:ascii="Calibri" w:eastAsia="Times New Roman" w:hAnsi="Calibri" w:cs="Calibri"/>
          <w:color w:val="000000"/>
          <w:kern w:val="0"/>
          <w:sz w:val="22"/>
          <w:szCs w:val="22"/>
          <w14:ligatures w14:val="none"/>
        </w:rPr>
        <w:t> (batch feedback preferred). A “revision” means changes to the same approved direction (not re-concepting). Material change in direction is new scope billed hourly or separately scoped.</w:t>
      </w:r>
    </w:p>
    <w:p w14:paraId="4072CA03" w14:textId="77777777" w:rsidR="00D767D2" w:rsidRPr="00D767D2" w:rsidRDefault="00D767D2" w:rsidP="007131E7">
      <w:pPr>
        <w:pStyle w:val="Heading3"/>
        <w:rPr>
          <w:rFonts w:eastAsia="Times New Roman"/>
        </w:rPr>
      </w:pPr>
      <w:r w:rsidRPr="00D767D2">
        <w:rPr>
          <w:rFonts w:eastAsia="Times New Roman"/>
        </w:rPr>
        <w:t>3.2 Delivery / Acceptance</w:t>
      </w:r>
    </w:p>
    <w:p w14:paraId="0EBCAFD5"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Delivery to shared folder per Exhibit A specs. Publisher has </w:t>
      </w:r>
      <w:r w:rsidRPr="00D767D2">
        <w:rPr>
          <w:rFonts w:ascii="Calibri" w:eastAsia="Times New Roman" w:hAnsi="Calibri" w:cs="Calibri"/>
          <w:b/>
          <w:bCs/>
          <w:color w:val="000000"/>
          <w:kern w:val="0"/>
          <w:sz w:val="22"/>
          <w:szCs w:val="22"/>
          <w14:ligatures w14:val="none"/>
        </w:rPr>
        <w:t>seven (7) business days</w:t>
      </w:r>
      <w:r w:rsidRPr="00D767D2">
        <w:rPr>
          <w:rFonts w:ascii="Calibri" w:eastAsia="Times New Roman" w:hAnsi="Calibri" w:cs="Calibri"/>
          <w:color w:val="000000"/>
          <w:kern w:val="0"/>
          <w:sz w:val="22"/>
          <w:szCs w:val="22"/>
          <w14:ligatures w14:val="none"/>
        </w:rPr>
        <w:t> to accept or provide one consolidated revision list; no response within seven (7) business days is deemed accepted.</w:t>
      </w:r>
    </w:p>
    <w:p w14:paraId="77B23094" w14:textId="77777777" w:rsidR="00D767D2" w:rsidRPr="00D767D2" w:rsidRDefault="00D767D2" w:rsidP="007131E7">
      <w:pPr>
        <w:pStyle w:val="Heading3"/>
        <w:rPr>
          <w:rFonts w:eastAsia="Times New Roman"/>
        </w:rPr>
      </w:pPr>
      <w:r w:rsidRPr="00D767D2">
        <w:rPr>
          <w:rFonts w:eastAsia="Times New Roman"/>
        </w:rPr>
        <w:t>3.3 Payment (Commission)</w:t>
      </w:r>
    </w:p>
    <w:p w14:paraId="09FE926F"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Commission payment milestones are set forth in Exhibit A.</w:t>
      </w:r>
    </w:p>
    <w:p w14:paraId="064458C3" w14:textId="77777777" w:rsidR="00D767D2" w:rsidRPr="00D767D2" w:rsidRDefault="00D767D2" w:rsidP="007131E7">
      <w:pPr>
        <w:pStyle w:val="Heading3"/>
        <w:rPr>
          <w:rFonts w:eastAsia="Times New Roman"/>
        </w:rPr>
      </w:pPr>
      <w:r w:rsidRPr="00D767D2">
        <w:rPr>
          <w:rFonts w:eastAsia="Times New Roman"/>
        </w:rPr>
        <w:t>3.4 Hourly Add-Ons</w:t>
      </w:r>
    </w:p>
    <w:p w14:paraId="070DD94E"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$50/hour</w:t>
      </w:r>
      <w:r w:rsidRPr="00D767D2">
        <w:rPr>
          <w:rFonts w:ascii="Calibri" w:eastAsia="Times New Roman" w:hAnsi="Calibri" w:cs="Calibri"/>
          <w:color w:val="000000"/>
          <w:kern w:val="0"/>
          <w:sz w:val="22"/>
          <w:szCs w:val="22"/>
          <w14:ligatures w14:val="none"/>
        </w:rPr>
        <w:t> only with prior written approval. Cap: </w:t>
      </w:r>
      <w:r w:rsidRPr="00D767D2">
        <w:rPr>
          <w:rFonts w:ascii="Calibri" w:eastAsia="Times New Roman" w:hAnsi="Calibri" w:cs="Calibri"/>
          <w:b/>
          <w:bCs/>
          <w:color w:val="000000"/>
          <w:kern w:val="0"/>
          <w:sz w:val="22"/>
          <w:szCs w:val="22"/>
          <w14:ligatures w14:val="none"/>
        </w:rPr>
        <w:t>15 hours/month</w:t>
      </w:r>
      <w:r w:rsidRPr="00D767D2">
        <w:rPr>
          <w:rFonts w:ascii="Calibri" w:eastAsia="Times New Roman" w:hAnsi="Calibri" w:cs="Calibri"/>
          <w:color w:val="000000"/>
          <w:kern w:val="0"/>
          <w:sz w:val="22"/>
          <w:szCs w:val="22"/>
          <w14:ligatures w14:val="none"/>
        </w:rPr>
        <w:t> without written approval.</w:t>
      </w:r>
    </w:p>
    <w:p w14:paraId="39563C1C" w14:textId="77777777" w:rsidR="00D767D2" w:rsidRPr="00D767D2" w:rsidRDefault="008113BB"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4AFD7F14">
          <v:rect id="_x0000_i1035" alt="" style="width:468pt;height:.05pt;mso-width-percent:0;mso-height-percent:0;mso-width-percent:0;mso-height-percent:0" o:hralign="center" o:hrstd="t" o:hr="t" fillcolor="#a0a0a0" stroked="f"/>
        </w:pict>
      </w:r>
    </w:p>
    <w:p w14:paraId="3C4CCF8B" w14:textId="77777777" w:rsidR="00D767D2" w:rsidRPr="00D767D2" w:rsidRDefault="00D767D2" w:rsidP="00D767D2">
      <w:pPr>
        <w:pStyle w:val="Heading2"/>
        <w:rPr>
          <w:rFonts w:eastAsia="Times New Roman"/>
        </w:rPr>
      </w:pPr>
      <w:r w:rsidRPr="00D767D2">
        <w:rPr>
          <w:rFonts w:eastAsia="Times New Roman"/>
        </w:rPr>
        <w:lastRenderedPageBreak/>
        <w:t>4) Independent Counsel Stipend</w:t>
      </w:r>
    </w:p>
    <w:p w14:paraId="69C2EB60"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Publisher will pay Licensor </w:t>
      </w:r>
      <w:r w:rsidRPr="00D767D2">
        <w:rPr>
          <w:rFonts w:ascii="Calibri" w:eastAsia="Times New Roman" w:hAnsi="Calibri" w:cs="Calibri"/>
          <w:b/>
          <w:bCs/>
          <w:color w:val="000000"/>
          <w:kern w:val="0"/>
          <w:sz w:val="22"/>
          <w:szCs w:val="22"/>
          <w14:ligatures w14:val="none"/>
        </w:rPr>
        <w:t>$750</w:t>
      </w:r>
      <w:r w:rsidRPr="00D767D2">
        <w:rPr>
          <w:rFonts w:ascii="Calibri" w:eastAsia="Times New Roman" w:hAnsi="Calibri" w:cs="Calibri"/>
          <w:color w:val="000000"/>
          <w:kern w:val="0"/>
          <w:sz w:val="22"/>
          <w:szCs w:val="22"/>
          <w14:ligatures w14:val="none"/>
        </w:rPr>
        <w:t> upon execution of the Definitive Agreement. This stipend is non-refundable, non-recoupable, and does not offset any other compensation.</w:t>
      </w:r>
    </w:p>
    <w:p w14:paraId="75CCA095" w14:textId="77777777" w:rsidR="00D767D2" w:rsidRPr="00D767D2" w:rsidRDefault="008113BB"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3115FFC4">
          <v:rect id="_x0000_i1034" alt="" style="width:468pt;height:.05pt;mso-width-percent:0;mso-height-percent:0;mso-width-percent:0;mso-height-percent:0" o:hralign="center" o:hrstd="t" o:hr="t" fillcolor="#a0a0a0" stroked="f"/>
        </w:pict>
      </w:r>
    </w:p>
    <w:p w14:paraId="463964BF" w14:textId="77777777" w:rsidR="00D767D2" w:rsidRPr="00D767D2" w:rsidRDefault="00D767D2" w:rsidP="00D767D2">
      <w:pPr>
        <w:pStyle w:val="Heading2"/>
        <w:rPr>
          <w:rFonts w:eastAsia="Times New Roman"/>
        </w:rPr>
      </w:pPr>
      <w:r w:rsidRPr="00D767D2">
        <w:rPr>
          <w:rFonts w:eastAsia="Times New Roman"/>
        </w:rPr>
        <w:t>5) License Grant (Licensed Property and Franchise Marks)</w:t>
      </w:r>
    </w:p>
    <w:p w14:paraId="22DACD87" w14:textId="77777777" w:rsidR="00D767D2" w:rsidRPr="00D767D2" w:rsidRDefault="00D767D2" w:rsidP="007131E7">
      <w:pPr>
        <w:pStyle w:val="Heading3"/>
        <w:rPr>
          <w:rFonts w:eastAsia="Times New Roman"/>
        </w:rPr>
      </w:pPr>
      <w:r w:rsidRPr="00D767D2">
        <w:rPr>
          <w:rFonts w:eastAsia="Times New Roman"/>
        </w:rPr>
        <w:t>5.1 Grant</w:t>
      </w:r>
    </w:p>
    <w:p w14:paraId="3F0B7B3A"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Licensor grants Publisher an exclusive, worldwide license to use the Licensed Property (and, as applicable, the Franchise Marks as provided in Section 5.2) solely to develop, manufacture, create, market, sell, and distribute the Licensed Products in the Field of Use during the Term.</w:t>
      </w:r>
    </w:p>
    <w:p w14:paraId="368328FA" w14:textId="77777777" w:rsidR="00D767D2" w:rsidRPr="00D767D2" w:rsidRDefault="00D767D2" w:rsidP="007131E7">
      <w:pPr>
        <w:pStyle w:val="Heading3"/>
        <w:rPr>
          <w:rFonts w:eastAsia="Times New Roman"/>
        </w:rPr>
      </w:pPr>
      <w:r w:rsidRPr="00D767D2">
        <w:rPr>
          <w:rFonts w:eastAsia="Times New Roman"/>
        </w:rPr>
        <w:t>5.2 Trademark License (Franchise Marks)</w:t>
      </w:r>
    </w:p>
    <w:p w14:paraId="60C7CE8B"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Subject to the terms of the Definitive Agreement, Licensor grants Publisher an exclusive, worldwide license during the Term to use the Franchise Marks solely in connection with the development, manufacture, marketing, sale, and distribution of the Licensed Products in the Field of Use and related marketing materials. No rights are granted for any other field (including apparel/merch, toys, apps/video games, film/TV, publishing, or other derivatives) unless agreed in writing.</w:t>
      </w:r>
    </w:p>
    <w:p w14:paraId="6C4B8E86" w14:textId="77777777" w:rsidR="00D767D2" w:rsidRPr="00D767D2" w:rsidRDefault="00D767D2" w:rsidP="007131E7">
      <w:pPr>
        <w:pStyle w:val="Heading3"/>
        <w:rPr>
          <w:rFonts w:eastAsia="Times New Roman"/>
        </w:rPr>
      </w:pPr>
      <w:r w:rsidRPr="00D767D2">
        <w:rPr>
          <w:rFonts w:eastAsia="Times New Roman"/>
        </w:rPr>
        <w:t>5.2.1 Quality Control; Brand Integrity</w:t>
      </w:r>
    </w:p>
    <w:p w14:paraId="59F7BC77" w14:textId="77777777" w:rsidR="007131E7" w:rsidRPr="007131E7" w:rsidRDefault="007131E7" w:rsidP="007131E7">
      <w:pPr>
        <w:pStyle w:val="NormalWeb"/>
        <w:rPr>
          <w:rFonts w:ascii="Calibri" w:hAnsi="Calibri" w:cs="Calibri"/>
          <w:color w:val="000000"/>
          <w:sz w:val="22"/>
          <w:szCs w:val="22"/>
        </w:rPr>
      </w:pPr>
      <w:r w:rsidRPr="007131E7">
        <w:rPr>
          <w:rFonts w:ascii="Calibri" w:hAnsi="Calibri" w:cs="Calibri"/>
          <w:color w:val="000000"/>
          <w:sz w:val="22"/>
          <w:szCs w:val="22"/>
        </w:rPr>
        <w:t>Publisher will use the Franchise Marks in a manner consistent with reasonable brand integrity standards and Licensor’s reputation. Licensor may review and approve Publisher’s first public use of the Franchise Marks on (i) the Product box front, (ii) the rulebook cover, and (iii) the Kickstarter campaign page header/primary key art (approval not to be unreasonably withheld, conditioned, or delayed).</w:t>
      </w:r>
    </w:p>
    <w:p w14:paraId="10060557" w14:textId="77777777" w:rsidR="007131E7" w:rsidRPr="007131E7" w:rsidRDefault="007131E7" w:rsidP="007131E7">
      <w:pPr>
        <w:pStyle w:val="NormalWeb"/>
        <w:rPr>
          <w:rFonts w:ascii="Calibri" w:hAnsi="Calibri" w:cs="Calibri"/>
          <w:color w:val="000000"/>
          <w:sz w:val="22"/>
          <w:szCs w:val="22"/>
        </w:rPr>
      </w:pPr>
      <w:r w:rsidRPr="007131E7">
        <w:rPr>
          <w:rFonts w:ascii="Calibri" w:hAnsi="Calibri" w:cs="Calibri"/>
          <w:sz w:val="22"/>
          <w:szCs w:val="22"/>
        </w:rPr>
        <w:t>Approval Timing. Licensor will approve or provide a single consolidated list of reasonable changes within ten (10) business days after receipt of the applicable materials. If Licensor does not respond within ten (10) business days, the applicable use will be deemed approved.</w:t>
      </w:r>
    </w:p>
    <w:p w14:paraId="5207817E" w14:textId="77777777" w:rsidR="007131E7" w:rsidRDefault="007131E7" w:rsidP="007131E7">
      <w:pPr>
        <w:pStyle w:val="NormalWeb"/>
        <w:rPr>
          <w:color w:val="000000"/>
        </w:rPr>
      </w:pPr>
      <w:r w:rsidRPr="007131E7">
        <w:rPr>
          <w:rFonts w:ascii="Calibri" w:hAnsi="Calibri" w:cs="Calibri"/>
          <w:color w:val="000000"/>
          <w:sz w:val="22"/>
          <w:szCs w:val="22"/>
        </w:rPr>
        <w:t>Thereafter, Publisher’s uses that are materially consistent with the approved uses are deemed approved. If Licensor provides written notice that a particular use materially fails to meet the foregoing quality standards, Publisher will cure within ten (10) business days by correcting or discontinuing that use to the extent reasonably practicable.</w:t>
      </w:r>
    </w:p>
    <w:p w14:paraId="7DC06378" w14:textId="77777777" w:rsidR="00B72956" w:rsidRDefault="00B72956">
      <w:pPr>
        <w:rPr>
          <w:rFonts w:eastAsia="Times New Roman" w:cstheme="majorBidi"/>
          <w:color w:val="0F4761" w:themeColor="accent1" w:themeShade="BF"/>
          <w:sz w:val="28"/>
          <w:szCs w:val="28"/>
        </w:rPr>
      </w:pPr>
      <w:r>
        <w:rPr>
          <w:rFonts w:eastAsia="Times New Roman"/>
        </w:rPr>
        <w:br w:type="page"/>
      </w:r>
    </w:p>
    <w:p w14:paraId="1D653388" w14:textId="004BF9F2" w:rsidR="00D767D2" w:rsidRPr="00D767D2" w:rsidRDefault="00D767D2" w:rsidP="007131E7">
      <w:pPr>
        <w:pStyle w:val="Heading3"/>
        <w:rPr>
          <w:rFonts w:eastAsia="Times New Roman"/>
        </w:rPr>
      </w:pPr>
      <w:r w:rsidRPr="00D767D2">
        <w:rPr>
          <w:rFonts w:eastAsia="Times New Roman"/>
        </w:rPr>
        <w:lastRenderedPageBreak/>
        <w:t>5.2.2 Registration &amp; Filing</w:t>
      </w:r>
    </w:p>
    <w:p w14:paraId="4E769CDB"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(a) </w:t>
      </w:r>
      <w:r w:rsidRPr="00D767D2">
        <w:rPr>
          <w:rFonts w:ascii="Calibri" w:eastAsia="Times New Roman" w:hAnsi="Calibri" w:cs="Calibri"/>
          <w:b/>
          <w:bCs/>
          <w:color w:val="000000"/>
          <w:kern w:val="0"/>
          <w:sz w:val="22"/>
          <w:szCs w:val="22"/>
          <w14:ligatures w14:val="none"/>
        </w:rPr>
        <w:t>Franchise Marks.</w:t>
      </w:r>
      <w:r w:rsidRPr="00D767D2">
        <w:rPr>
          <w:rFonts w:ascii="Calibri" w:eastAsia="Times New Roman" w:hAnsi="Calibri" w:cs="Calibri"/>
          <w:color w:val="000000"/>
          <w:kern w:val="0"/>
          <w:sz w:val="22"/>
          <w:szCs w:val="22"/>
          <w14:ligatures w14:val="none"/>
        </w:rPr>
        <w:t> Licensor will have the sole right (but not the obligation) to register and maintain the Franchise Marks, at Licensor’s expense. Publisher will not seek to register the Franchise Marks (or any confusingly similar marks) without Licensor’s prior written consent.</w:t>
      </w:r>
      <w:r w:rsidRPr="00D767D2">
        <w:rPr>
          <w:rFonts w:ascii="Calibri" w:eastAsia="Times New Roman" w:hAnsi="Calibri" w:cs="Calibri"/>
          <w:color w:val="000000"/>
          <w:kern w:val="0"/>
          <w:sz w:val="22"/>
          <w:szCs w:val="22"/>
          <w14:ligatures w14:val="none"/>
        </w:rPr>
        <w:br/>
        <w:t>(b) </w:t>
      </w:r>
      <w:r w:rsidRPr="00D767D2">
        <w:rPr>
          <w:rFonts w:ascii="Calibri" w:eastAsia="Times New Roman" w:hAnsi="Calibri" w:cs="Calibri"/>
          <w:b/>
          <w:bCs/>
          <w:color w:val="000000"/>
          <w:kern w:val="0"/>
          <w:sz w:val="22"/>
          <w:szCs w:val="22"/>
          <w14:ligatures w14:val="none"/>
        </w:rPr>
        <w:t>Product Marks.</w:t>
      </w:r>
      <w:r w:rsidRPr="00D767D2">
        <w:rPr>
          <w:rFonts w:ascii="Calibri" w:eastAsia="Times New Roman" w:hAnsi="Calibri" w:cs="Calibri"/>
          <w:color w:val="000000"/>
          <w:kern w:val="0"/>
          <w:sz w:val="22"/>
          <w:szCs w:val="22"/>
          <w14:ligatures w14:val="none"/>
        </w:rPr>
        <w:t> Publisher will have the sole right (but not the obligation) to register and maintain the Product Marks, at Publisher’s expense.</w:t>
      </w:r>
      <w:r w:rsidRPr="00D767D2">
        <w:rPr>
          <w:rFonts w:ascii="Calibri" w:eastAsia="Times New Roman" w:hAnsi="Calibri" w:cs="Calibri"/>
          <w:color w:val="000000"/>
          <w:kern w:val="0"/>
          <w:sz w:val="22"/>
          <w:szCs w:val="22"/>
          <w14:ligatures w14:val="none"/>
        </w:rPr>
        <w:br/>
        <w:t>(c) </w:t>
      </w:r>
      <w:r w:rsidRPr="00D767D2">
        <w:rPr>
          <w:rFonts w:ascii="Calibri" w:eastAsia="Times New Roman" w:hAnsi="Calibri" w:cs="Calibri"/>
          <w:b/>
          <w:bCs/>
          <w:color w:val="000000"/>
          <w:kern w:val="0"/>
          <w:sz w:val="22"/>
          <w:szCs w:val="22"/>
          <w14:ligatures w14:val="none"/>
        </w:rPr>
        <w:t>Cooperation.</w:t>
      </w:r>
      <w:r w:rsidRPr="00D767D2">
        <w:rPr>
          <w:rFonts w:ascii="Calibri" w:eastAsia="Times New Roman" w:hAnsi="Calibri" w:cs="Calibri"/>
          <w:color w:val="000000"/>
          <w:kern w:val="0"/>
          <w:sz w:val="22"/>
          <w:szCs w:val="22"/>
          <w14:ligatures w14:val="none"/>
        </w:rPr>
        <w:t> Each party will reasonably cooperate with the other in connection with registrations and maintenance of the other party’s marks, at the requesting party’s expense.</w:t>
      </w:r>
    </w:p>
    <w:p w14:paraId="376C5D18" w14:textId="77777777" w:rsidR="00D767D2" w:rsidRPr="00D767D2" w:rsidRDefault="00D767D2" w:rsidP="007131E7">
      <w:pPr>
        <w:pStyle w:val="Heading3"/>
        <w:rPr>
          <w:rFonts w:eastAsia="Times New Roman"/>
        </w:rPr>
      </w:pPr>
      <w:r w:rsidRPr="00D767D2">
        <w:rPr>
          <w:rFonts w:eastAsia="Times New Roman"/>
        </w:rPr>
        <w:t>5.3 Permitted Production Modifications</w:t>
      </w:r>
    </w:p>
    <w:p w14:paraId="533C2BE6"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Publisher may crop/resize, adjust color for print consistency, and add typography/layout for production, consistent with brand integrity.</w:t>
      </w:r>
    </w:p>
    <w:p w14:paraId="466CE9A6" w14:textId="77777777" w:rsidR="00D767D2" w:rsidRPr="00D767D2" w:rsidRDefault="00D767D2" w:rsidP="007131E7">
      <w:pPr>
        <w:pStyle w:val="Heading3"/>
        <w:rPr>
          <w:rFonts w:eastAsia="Times New Roman"/>
        </w:rPr>
      </w:pPr>
      <w:r w:rsidRPr="00D767D2">
        <w:rPr>
          <w:rFonts w:eastAsia="Times New Roman"/>
        </w:rPr>
        <w:t>5.4 Sublicensing / Assignment</w:t>
      </w:r>
    </w:p>
    <w:p w14:paraId="5B4C7000"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Publisher may sublicense and/or assign as needed for manufacturing, distribution, fulfillment, localization, and platform/service providers. Publisher may assign the Definitive Agreement in connection with a merger, acquisition, or sale of substantially all assets relating to Licensed Products, provided the successor assumes all obligations (including reporting/payment and any MG/kickers). Publisher remains responsible for obligations accrued prior to the effective date of assignment.</w:t>
      </w:r>
    </w:p>
    <w:p w14:paraId="1E71A304" w14:textId="77777777" w:rsidR="00D767D2" w:rsidRPr="00D767D2" w:rsidRDefault="00D767D2" w:rsidP="007131E7">
      <w:pPr>
        <w:pStyle w:val="Heading3"/>
        <w:rPr>
          <w:rFonts w:eastAsia="Times New Roman"/>
        </w:rPr>
      </w:pPr>
      <w:r w:rsidRPr="00D767D2">
        <w:rPr>
          <w:rFonts w:eastAsia="Times New Roman"/>
        </w:rPr>
        <w:t>5.5 Sell-Off</w:t>
      </w:r>
    </w:p>
    <w:p w14:paraId="0887A354"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Upon expiration/termination (except for cause where immediate cessation may apply), Publisher retains a </w:t>
      </w:r>
      <w:r w:rsidRPr="00D767D2">
        <w:rPr>
          <w:rFonts w:ascii="Calibri" w:eastAsia="Times New Roman" w:hAnsi="Calibri" w:cs="Calibri"/>
          <w:b/>
          <w:bCs/>
          <w:color w:val="000000"/>
          <w:kern w:val="0"/>
          <w:sz w:val="22"/>
          <w:szCs w:val="22"/>
          <w14:ligatures w14:val="none"/>
        </w:rPr>
        <w:t>twelve (12) month</w:t>
      </w:r>
      <w:r w:rsidRPr="00D767D2">
        <w:rPr>
          <w:rFonts w:ascii="Calibri" w:eastAsia="Times New Roman" w:hAnsi="Calibri" w:cs="Calibri"/>
          <w:color w:val="000000"/>
          <w:kern w:val="0"/>
          <w:sz w:val="22"/>
          <w:szCs w:val="22"/>
          <w14:ligatures w14:val="none"/>
        </w:rPr>
        <w:t> sell-off right for existing inventory and committed production runs, subject to continuing reporting and royalty obligations.</w:t>
      </w:r>
    </w:p>
    <w:p w14:paraId="56917CF2" w14:textId="77777777" w:rsidR="00D767D2" w:rsidRPr="00D767D2" w:rsidRDefault="003E135D"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4852D668">
          <v:rect id="_x0000_i1033" alt="" style="width:468pt;height:.05pt;mso-width-percent:0;mso-height-percent:0;mso-width-percent:0;mso-height-percent:0" o:hralign="center" o:hrstd="t" o:hr="t" fillcolor="#a0a0a0" stroked="f"/>
        </w:pict>
      </w:r>
    </w:p>
    <w:p w14:paraId="267328EE" w14:textId="77777777" w:rsidR="00D767D2" w:rsidRPr="00D767D2" w:rsidRDefault="00D767D2" w:rsidP="00D767D2">
      <w:pPr>
        <w:pStyle w:val="Heading2"/>
        <w:rPr>
          <w:rFonts w:eastAsia="Times New Roman"/>
        </w:rPr>
      </w:pPr>
      <w:r w:rsidRPr="00D767D2">
        <w:rPr>
          <w:rFonts w:eastAsia="Times New Roman"/>
        </w:rPr>
        <w:t>6) License Economics</w:t>
      </w:r>
    </w:p>
    <w:p w14:paraId="2AF60436" w14:textId="77777777" w:rsidR="00D767D2" w:rsidRPr="00D767D2" w:rsidRDefault="00D767D2" w:rsidP="007131E7">
      <w:pPr>
        <w:pStyle w:val="Heading3"/>
        <w:rPr>
          <w:rFonts w:eastAsia="Times New Roman"/>
        </w:rPr>
      </w:pPr>
      <w:r w:rsidRPr="00D767D2">
        <w:rPr>
          <w:rFonts w:eastAsia="Times New Roman"/>
        </w:rPr>
        <w:t>6.1 KS1 Royalty</w:t>
      </w:r>
    </w:p>
    <w:p w14:paraId="3B0C459D"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For KS1, Publisher will pay Licensor a royalty equal to </w:t>
      </w:r>
      <w:r w:rsidRPr="00D767D2">
        <w:rPr>
          <w:rFonts w:ascii="Calibri" w:eastAsia="Times New Roman" w:hAnsi="Calibri" w:cs="Calibri"/>
          <w:b/>
          <w:bCs/>
          <w:color w:val="000000"/>
          <w:kern w:val="0"/>
          <w:sz w:val="22"/>
          <w:szCs w:val="22"/>
          <w14:ligatures w14:val="none"/>
        </w:rPr>
        <w:t>five percent (5%) of Net Receipts</w:t>
      </w:r>
      <w:r w:rsidRPr="00D767D2">
        <w:rPr>
          <w:rFonts w:ascii="Calibri" w:eastAsia="Times New Roman" w:hAnsi="Calibri" w:cs="Calibri"/>
          <w:color w:val="000000"/>
          <w:kern w:val="0"/>
          <w:sz w:val="22"/>
          <w:szCs w:val="22"/>
          <w14:ligatures w14:val="none"/>
        </w:rPr>
        <w:t> attributable to KS1 Licensed Products. No minimum guarantee applies to KS1.</w:t>
      </w:r>
    </w:p>
    <w:p w14:paraId="31D050B7" w14:textId="77777777" w:rsidR="00B72956" w:rsidRDefault="00B72956">
      <w:pPr>
        <w:rPr>
          <w:rFonts w:eastAsia="Times New Roman" w:cstheme="majorBidi"/>
          <w:color w:val="0F4761" w:themeColor="accent1" w:themeShade="BF"/>
          <w:sz w:val="28"/>
          <w:szCs w:val="28"/>
        </w:rPr>
      </w:pPr>
      <w:r>
        <w:rPr>
          <w:rFonts w:eastAsia="Times New Roman"/>
        </w:rPr>
        <w:br w:type="page"/>
      </w:r>
    </w:p>
    <w:p w14:paraId="60D76223" w14:textId="58B4F964" w:rsidR="00D767D2" w:rsidRPr="00D767D2" w:rsidRDefault="00D767D2" w:rsidP="007131E7">
      <w:pPr>
        <w:pStyle w:val="Heading3"/>
        <w:rPr>
          <w:rFonts w:eastAsia="Times New Roman"/>
        </w:rPr>
      </w:pPr>
      <w:r w:rsidRPr="00D767D2">
        <w:rPr>
          <w:rFonts w:eastAsia="Times New Roman"/>
        </w:rPr>
        <w:lastRenderedPageBreak/>
        <w:t>6.2 KS1 Profit-Share Kicker (Highest Tier Only)</w:t>
      </w:r>
    </w:p>
    <w:p w14:paraId="41DCCB35"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Based on </w:t>
      </w:r>
      <w:r w:rsidRPr="00D767D2">
        <w:rPr>
          <w:rFonts w:ascii="Calibri" w:eastAsia="Times New Roman" w:hAnsi="Calibri" w:cs="Calibri"/>
          <w:b/>
          <w:bCs/>
          <w:color w:val="000000"/>
          <w:kern w:val="0"/>
          <w:sz w:val="22"/>
          <w:szCs w:val="22"/>
          <w14:ligatures w14:val="none"/>
        </w:rPr>
        <w:t>Captured Gross Funding for KS1</w:t>
      </w:r>
      <w:r w:rsidRPr="00D767D2">
        <w:rPr>
          <w:rFonts w:ascii="Calibri" w:eastAsia="Times New Roman" w:hAnsi="Calibri" w:cs="Calibri"/>
          <w:color w:val="000000"/>
          <w:kern w:val="0"/>
          <w:sz w:val="22"/>
          <w:szCs w:val="22"/>
          <w14:ligatures w14:val="none"/>
        </w:rPr>
        <w:t>:</w:t>
      </w:r>
    </w:p>
    <w:p w14:paraId="4E6C78B6" w14:textId="77777777" w:rsidR="00D767D2" w:rsidRPr="00D767D2" w:rsidRDefault="00D767D2" w:rsidP="00D767D2">
      <w:pPr>
        <w:numPr>
          <w:ilvl w:val="0"/>
          <w:numId w:val="10"/>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$50,000–$74,999:</w:t>
      </w:r>
      <w:r w:rsidRPr="00D767D2">
        <w:rPr>
          <w:rFonts w:ascii="Calibri" w:eastAsia="Times New Roman" w:hAnsi="Calibri" w:cs="Calibri"/>
          <w:color w:val="000000"/>
          <w:kern w:val="0"/>
          <w:sz w:val="22"/>
          <w:szCs w:val="22"/>
          <w14:ligatures w14:val="none"/>
        </w:rPr>
        <w:t> $1,000</w:t>
      </w:r>
    </w:p>
    <w:p w14:paraId="325FAA65" w14:textId="77777777" w:rsidR="00D767D2" w:rsidRPr="00D767D2" w:rsidRDefault="00D767D2" w:rsidP="00D767D2">
      <w:pPr>
        <w:numPr>
          <w:ilvl w:val="0"/>
          <w:numId w:val="10"/>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$75,000–$149,999:</w:t>
      </w:r>
      <w:r w:rsidRPr="00D767D2">
        <w:rPr>
          <w:rFonts w:ascii="Calibri" w:eastAsia="Times New Roman" w:hAnsi="Calibri" w:cs="Calibri"/>
          <w:color w:val="000000"/>
          <w:kern w:val="0"/>
          <w:sz w:val="22"/>
          <w:szCs w:val="22"/>
          <w14:ligatures w14:val="none"/>
        </w:rPr>
        <w:t> $3,000</w:t>
      </w:r>
    </w:p>
    <w:p w14:paraId="1B18BB16" w14:textId="77777777" w:rsidR="00D767D2" w:rsidRPr="00D767D2" w:rsidRDefault="00D767D2" w:rsidP="00D767D2">
      <w:pPr>
        <w:numPr>
          <w:ilvl w:val="0"/>
          <w:numId w:val="10"/>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$150,000+:</w:t>
      </w:r>
      <w:r w:rsidRPr="00D767D2">
        <w:rPr>
          <w:rFonts w:ascii="Calibri" w:eastAsia="Times New Roman" w:hAnsi="Calibri" w:cs="Calibri"/>
          <w:color w:val="000000"/>
          <w:kern w:val="0"/>
          <w:sz w:val="22"/>
          <w:szCs w:val="22"/>
          <w14:ligatures w14:val="none"/>
        </w:rPr>
        <w:t> $6,000</w:t>
      </w:r>
    </w:p>
    <w:p w14:paraId="1ECDFF08"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Payable within </w:t>
      </w:r>
      <w:r w:rsidRPr="00D767D2">
        <w:rPr>
          <w:rFonts w:ascii="Calibri" w:eastAsia="Times New Roman" w:hAnsi="Calibri" w:cs="Calibri"/>
          <w:b/>
          <w:bCs/>
          <w:color w:val="000000"/>
          <w:kern w:val="0"/>
          <w:sz w:val="22"/>
          <w:szCs w:val="22"/>
          <w14:ligatures w14:val="none"/>
        </w:rPr>
        <w:t>ninety (90) days</w:t>
      </w:r>
      <w:r w:rsidRPr="00D767D2">
        <w:rPr>
          <w:rFonts w:ascii="Calibri" w:eastAsia="Times New Roman" w:hAnsi="Calibri" w:cs="Calibri"/>
          <w:color w:val="000000"/>
          <w:kern w:val="0"/>
          <w:sz w:val="22"/>
          <w:szCs w:val="22"/>
          <w14:ligatures w14:val="none"/>
        </w:rPr>
        <w:t> after KS1 ends, provided </w:t>
      </w:r>
      <w:r w:rsidRPr="00D767D2">
        <w:rPr>
          <w:rFonts w:ascii="Calibri" w:eastAsia="Times New Roman" w:hAnsi="Calibri" w:cs="Calibri"/>
          <w:b/>
          <w:bCs/>
          <w:color w:val="000000"/>
          <w:kern w:val="0"/>
          <w:sz w:val="22"/>
          <w:szCs w:val="22"/>
          <w14:ligatures w14:val="none"/>
        </w:rPr>
        <w:t>Captured Gross Funding has been received</w:t>
      </w:r>
      <w:r w:rsidRPr="00D767D2">
        <w:rPr>
          <w:rFonts w:ascii="Calibri" w:eastAsia="Times New Roman" w:hAnsi="Calibri" w:cs="Calibri"/>
          <w:color w:val="000000"/>
          <w:kern w:val="0"/>
          <w:sz w:val="22"/>
          <w:szCs w:val="22"/>
          <w14:ligatures w14:val="none"/>
        </w:rPr>
        <w:t> and the applicable threshold is met. Highest tier only (no stacking). This kicker is in addition to royalties.</w:t>
      </w:r>
    </w:p>
    <w:p w14:paraId="5FBD86AF" w14:textId="77777777" w:rsidR="00D767D2" w:rsidRPr="00D767D2" w:rsidRDefault="00D767D2" w:rsidP="007131E7">
      <w:pPr>
        <w:pStyle w:val="Heading3"/>
        <w:rPr>
          <w:rFonts w:eastAsia="Times New Roman"/>
        </w:rPr>
      </w:pPr>
      <w:r w:rsidRPr="00D767D2">
        <w:rPr>
          <w:rFonts w:eastAsia="Times New Roman"/>
        </w:rPr>
        <w:t>6.3 KS2 Minimum Guarantee (MG) + KS2 Hit-Sharing Kicker</w:t>
      </w:r>
    </w:p>
    <w:p w14:paraId="04E4CAEF"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If Publisher conducts KS2, the royalty rate remains </w:t>
      </w:r>
      <w:r w:rsidRPr="00D767D2">
        <w:rPr>
          <w:rFonts w:ascii="Calibri" w:eastAsia="Times New Roman" w:hAnsi="Calibri" w:cs="Calibri"/>
          <w:b/>
          <w:bCs/>
          <w:color w:val="000000"/>
          <w:kern w:val="0"/>
          <w:sz w:val="22"/>
          <w:szCs w:val="22"/>
          <w14:ligatures w14:val="none"/>
        </w:rPr>
        <w:t>5% of Net Receipts</w:t>
      </w:r>
      <w:r w:rsidRPr="00D767D2">
        <w:rPr>
          <w:rFonts w:ascii="Calibri" w:eastAsia="Times New Roman" w:hAnsi="Calibri" w:cs="Calibri"/>
          <w:color w:val="000000"/>
          <w:kern w:val="0"/>
          <w:sz w:val="22"/>
          <w:szCs w:val="22"/>
          <w14:ligatures w14:val="none"/>
        </w:rPr>
        <w:t> attributable to KS2 and post-KS2 sales of Licensed Products.</w:t>
      </w:r>
    </w:p>
    <w:p w14:paraId="5849E0C1"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MG:</w:t>
      </w:r>
      <w:r w:rsidRPr="00D767D2">
        <w:rPr>
          <w:rFonts w:ascii="Calibri" w:eastAsia="Times New Roman" w:hAnsi="Calibri" w:cs="Calibri"/>
          <w:color w:val="000000"/>
          <w:kern w:val="0"/>
          <w:sz w:val="22"/>
          <w:szCs w:val="22"/>
          <w14:ligatures w14:val="none"/>
        </w:rPr>
        <w:t> Effective upon the earlier of (a) KS2 launch or (b) execution of a manufacturing purchase order for the KS2 reprint, Publisher will pay Licensor a </w:t>
      </w:r>
      <w:r w:rsidRPr="00D767D2">
        <w:rPr>
          <w:rFonts w:ascii="Calibri" w:eastAsia="Times New Roman" w:hAnsi="Calibri" w:cs="Calibri"/>
          <w:b/>
          <w:bCs/>
          <w:color w:val="000000"/>
          <w:kern w:val="0"/>
          <w:sz w:val="22"/>
          <w:szCs w:val="22"/>
          <w14:ligatures w14:val="none"/>
        </w:rPr>
        <w:t>$5,000 minimum guarantee</w:t>
      </w:r>
      <w:r w:rsidRPr="00D767D2">
        <w:rPr>
          <w:rFonts w:ascii="Calibri" w:eastAsia="Times New Roman" w:hAnsi="Calibri" w:cs="Calibri"/>
          <w:color w:val="000000"/>
          <w:kern w:val="0"/>
          <w:sz w:val="22"/>
          <w:szCs w:val="22"/>
          <w14:ligatures w14:val="none"/>
        </w:rPr>
        <w:t> (“MG”), recoupable against royalties at the 5% rate. The MG is non-refundable.</w:t>
      </w:r>
    </w:p>
    <w:p w14:paraId="25403337"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KS2 Hit-Sharing Kicker (Highest Tier Only):</w:t>
      </w:r>
      <w:r w:rsidRPr="00D767D2">
        <w:rPr>
          <w:rFonts w:ascii="Calibri" w:eastAsia="Times New Roman" w:hAnsi="Calibri" w:cs="Calibri"/>
          <w:color w:val="000000"/>
          <w:kern w:val="0"/>
          <w:sz w:val="22"/>
          <w:szCs w:val="22"/>
          <w14:ligatures w14:val="none"/>
        </w:rPr>
        <w:t> Based on </w:t>
      </w:r>
      <w:r w:rsidRPr="00D767D2">
        <w:rPr>
          <w:rFonts w:ascii="Calibri" w:eastAsia="Times New Roman" w:hAnsi="Calibri" w:cs="Calibri"/>
          <w:b/>
          <w:bCs/>
          <w:color w:val="000000"/>
          <w:kern w:val="0"/>
          <w:sz w:val="22"/>
          <w:szCs w:val="22"/>
          <w14:ligatures w14:val="none"/>
        </w:rPr>
        <w:t>Captured Gross Funding for KS2</w:t>
      </w:r>
      <w:r w:rsidRPr="00D767D2">
        <w:rPr>
          <w:rFonts w:ascii="Calibri" w:eastAsia="Times New Roman" w:hAnsi="Calibri" w:cs="Calibri"/>
          <w:color w:val="000000"/>
          <w:kern w:val="0"/>
          <w:sz w:val="22"/>
          <w:szCs w:val="22"/>
          <w14:ligatures w14:val="none"/>
        </w:rPr>
        <w:t>:</w:t>
      </w:r>
    </w:p>
    <w:p w14:paraId="2AF99C6C" w14:textId="77777777" w:rsidR="00D767D2" w:rsidRPr="00D767D2" w:rsidRDefault="00D767D2" w:rsidP="00D767D2">
      <w:pPr>
        <w:numPr>
          <w:ilvl w:val="0"/>
          <w:numId w:val="11"/>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$150,000–$249,999:</w:t>
      </w:r>
      <w:r w:rsidRPr="00D767D2">
        <w:rPr>
          <w:rFonts w:ascii="Calibri" w:eastAsia="Times New Roman" w:hAnsi="Calibri" w:cs="Calibri"/>
          <w:color w:val="000000"/>
          <w:kern w:val="0"/>
          <w:sz w:val="22"/>
          <w:szCs w:val="22"/>
          <w14:ligatures w14:val="none"/>
        </w:rPr>
        <w:t> $3,000</w:t>
      </w:r>
    </w:p>
    <w:p w14:paraId="44F2B419" w14:textId="77777777" w:rsidR="00D767D2" w:rsidRPr="00D767D2" w:rsidRDefault="00D767D2" w:rsidP="00D767D2">
      <w:pPr>
        <w:numPr>
          <w:ilvl w:val="0"/>
          <w:numId w:val="11"/>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$250,000–$399,999:</w:t>
      </w:r>
      <w:r w:rsidRPr="00D767D2">
        <w:rPr>
          <w:rFonts w:ascii="Calibri" w:eastAsia="Times New Roman" w:hAnsi="Calibri" w:cs="Calibri"/>
          <w:color w:val="000000"/>
          <w:kern w:val="0"/>
          <w:sz w:val="22"/>
          <w:szCs w:val="22"/>
          <w14:ligatures w14:val="none"/>
        </w:rPr>
        <w:t> $7,500</w:t>
      </w:r>
    </w:p>
    <w:p w14:paraId="2DF40D42" w14:textId="77777777" w:rsidR="00D767D2" w:rsidRPr="00D767D2" w:rsidRDefault="00D767D2" w:rsidP="00D767D2">
      <w:pPr>
        <w:numPr>
          <w:ilvl w:val="0"/>
          <w:numId w:val="11"/>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$400,000+:</w:t>
      </w:r>
      <w:r w:rsidRPr="00D767D2">
        <w:rPr>
          <w:rFonts w:ascii="Calibri" w:eastAsia="Times New Roman" w:hAnsi="Calibri" w:cs="Calibri"/>
          <w:color w:val="000000"/>
          <w:kern w:val="0"/>
          <w:sz w:val="22"/>
          <w:szCs w:val="22"/>
          <w14:ligatures w14:val="none"/>
        </w:rPr>
        <w:t> $15,000</w:t>
      </w:r>
    </w:p>
    <w:p w14:paraId="06AD5F38"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Payable within </w:t>
      </w:r>
      <w:r w:rsidRPr="00D767D2">
        <w:rPr>
          <w:rFonts w:ascii="Calibri" w:eastAsia="Times New Roman" w:hAnsi="Calibri" w:cs="Calibri"/>
          <w:b/>
          <w:bCs/>
          <w:color w:val="000000"/>
          <w:kern w:val="0"/>
          <w:sz w:val="22"/>
          <w:szCs w:val="22"/>
          <w14:ligatures w14:val="none"/>
        </w:rPr>
        <w:t>ninety (90) days</w:t>
      </w:r>
      <w:r w:rsidRPr="00D767D2">
        <w:rPr>
          <w:rFonts w:ascii="Calibri" w:eastAsia="Times New Roman" w:hAnsi="Calibri" w:cs="Calibri"/>
          <w:color w:val="000000"/>
          <w:kern w:val="0"/>
          <w:sz w:val="22"/>
          <w:szCs w:val="22"/>
          <w14:ligatures w14:val="none"/>
        </w:rPr>
        <w:t> after KS2 ends, provided </w:t>
      </w:r>
      <w:r w:rsidRPr="00D767D2">
        <w:rPr>
          <w:rFonts w:ascii="Calibri" w:eastAsia="Times New Roman" w:hAnsi="Calibri" w:cs="Calibri"/>
          <w:b/>
          <w:bCs/>
          <w:color w:val="000000"/>
          <w:kern w:val="0"/>
          <w:sz w:val="22"/>
          <w:szCs w:val="22"/>
          <w14:ligatures w14:val="none"/>
        </w:rPr>
        <w:t>Captured Gross Funding has been received</w:t>
      </w:r>
      <w:r w:rsidRPr="00D767D2">
        <w:rPr>
          <w:rFonts w:ascii="Calibri" w:eastAsia="Times New Roman" w:hAnsi="Calibri" w:cs="Calibri"/>
          <w:color w:val="000000"/>
          <w:kern w:val="0"/>
          <w:sz w:val="22"/>
          <w:szCs w:val="22"/>
          <w14:ligatures w14:val="none"/>
        </w:rPr>
        <w:t> and the applicable threshold is met. Highest tier only (no stacking). This kicker is in addition to MG/royalties and is not subject to MG recoupment.</w:t>
      </w:r>
    </w:p>
    <w:p w14:paraId="442A8A56" w14:textId="77777777" w:rsidR="00D767D2" w:rsidRPr="00D767D2" w:rsidRDefault="00D767D2" w:rsidP="007131E7">
      <w:pPr>
        <w:pStyle w:val="Heading3"/>
        <w:rPr>
          <w:rFonts w:eastAsia="Times New Roman"/>
        </w:rPr>
      </w:pPr>
      <w:r w:rsidRPr="00D767D2">
        <w:rPr>
          <w:rFonts w:eastAsia="Times New Roman"/>
        </w:rPr>
        <w:t>6.4 Net Receipts (Summary)</w:t>
      </w:r>
    </w:p>
    <w:p w14:paraId="2F09D86A"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“Net Receipts” means cash actually received by Publisher attributable to Licensed Products minus Kickstarter/platform fees, payment processing fees, and refunds/chargebacks.</w:t>
      </w:r>
      <w:r w:rsidRPr="00D767D2">
        <w:rPr>
          <w:rFonts w:ascii="Calibri" w:eastAsia="Times New Roman" w:hAnsi="Calibri" w:cs="Calibri"/>
          <w:color w:val="000000"/>
          <w:kern w:val="0"/>
          <w:sz w:val="22"/>
          <w:szCs w:val="22"/>
          <w14:ligatures w14:val="none"/>
        </w:rPr>
        <w:br/>
        <w:t>Net Receipts exclude customer-paid shipping, taxes/VAT, and pass-through charges. Net Receipts include late pledges and pledge manager receipts attributable to Licensed Products.</w:t>
      </w:r>
      <w:r w:rsidRPr="00D767D2">
        <w:rPr>
          <w:rFonts w:ascii="Calibri" w:eastAsia="Times New Roman" w:hAnsi="Calibri" w:cs="Calibri"/>
          <w:color w:val="000000"/>
          <w:kern w:val="0"/>
          <w:sz w:val="22"/>
          <w:szCs w:val="22"/>
          <w14:ligatures w14:val="none"/>
        </w:rPr>
        <w:br/>
      </w:r>
      <w:r w:rsidRPr="00D767D2">
        <w:rPr>
          <w:rFonts w:ascii="Calibri" w:eastAsia="Times New Roman" w:hAnsi="Calibri" w:cs="Calibri"/>
          <w:b/>
          <w:bCs/>
          <w:color w:val="000000"/>
          <w:kern w:val="0"/>
          <w:sz w:val="22"/>
          <w:szCs w:val="22"/>
          <w14:ligatures w14:val="none"/>
        </w:rPr>
        <w:t>Allocation:</w:t>
      </w:r>
      <w:r w:rsidRPr="00D767D2">
        <w:rPr>
          <w:rFonts w:ascii="Calibri" w:eastAsia="Times New Roman" w:hAnsi="Calibri" w:cs="Calibri"/>
          <w:color w:val="000000"/>
          <w:kern w:val="0"/>
          <w:sz w:val="22"/>
          <w:szCs w:val="22"/>
          <w14:ligatures w14:val="none"/>
        </w:rPr>
        <w:t> Bundles/add-ons will be allocated by standalone prices (or a reasonable good-faith allocation consistent with published pricing).</w:t>
      </w:r>
    </w:p>
    <w:p w14:paraId="064DEC8C" w14:textId="77777777" w:rsidR="00B72956" w:rsidRDefault="00B72956">
      <w:pPr>
        <w:rPr>
          <w:rFonts w:eastAsia="Times New Roman" w:cstheme="majorBidi"/>
          <w:color w:val="0F4761" w:themeColor="accent1" w:themeShade="BF"/>
          <w:sz w:val="28"/>
          <w:szCs w:val="28"/>
        </w:rPr>
      </w:pPr>
      <w:r>
        <w:rPr>
          <w:rFonts w:eastAsia="Times New Roman"/>
        </w:rPr>
        <w:br w:type="page"/>
      </w:r>
    </w:p>
    <w:p w14:paraId="27C025D0" w14:textId="1FB538BA" w:rsidR="00D767D2" w:rsidRPr="00D767D2" w:rsidRDefault="00D767D2" w:rsidP="007131E7">
      <w:pPr>
        <w:pStyle w:val="Heading3"/>
        <w:rPr>
          <w:rFonts w:eastAsia="Times New Roman"/>
        </w:rPr>
      </w:pPr>
      <w:r w:rsidRPr="00D767D2">
        <w:rPr>
          <w:rFonts w:eastAsia="Times New Roman"/>
        </w:rPr>
        <w:lastRenderedPageBreak/>
        <w:t>6.5 Reporting, Payment, Audit</w:t>
      </w:r>
    </w:p>
    <w:p w14:paraId="11776519"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Reporting:</w:t>
      </w:r>
      <w:r w:rsidRPr="00D767D2">
        <w:rPr>
          <w:rFonts w:ascii="Calibri" w:eastAsia="Times New Roman" w:hAnsi="Calibri" w:cs="Calibri"/>
          <w:color w:val="000000"/>
          <w:kern w:val="0"/>
          <w:sz w:val="22"/>
          <w:szCs w:val="22"/>
          <w14:ligatures w14:val="none"/>
        </w:rPr>
        <w:t> quarterly, due </w:t>
      </w:r>
      <w:r w:rsidRPr="00D767D2">
        <w:rPr>
          <w:rFonts w:ascii="Calibri" w:eastAsia="Times New Roman" w:hAnsi="Calibri" w:cs="Calibri"/>
          <w:b/>
          <w:bCs/>
          <w:color w:val="000000"/>
          <w:kern w:val="0"/>
          <w:sz w:val="22"/>
          <w:szCs w:val="22"/>
          <w14:ligatures w14:val="none"/>
        </w:rPr>
        <w:t>45 days</w:t>
      </w:r>
      <w:r w:rsidRPr="00D767D2">
        <w:rPr>
          <w:rFonts w:ascii="Calibri" w:eastAsia="Times New Roman" w:hAnsi="Calibri" w:cs="Calibri"/>
          <w:color w:val="000000"/>
          <w:kern w:val="0"/>
          <w:sz w:val="22"/>
          <w:szCs w:val="22"/>
          <w14:ligatures w14:val="none"/>
        </w:rPr>
        <w:t> after quarter end.</w:t>
      </w:r>
      <w:r w:rsidRPr="00D767D2">
        <w:rPr>
          <w:rFonts w:ascii="Calibri" w:eastAsia="Times New Roman" w:hAnsi="Calibri" w:cs="Calibri"/>
          <w:color w:val="000000"/>
          <w:kern w:val="0"/>
          <w:sz w:val="22"/>
          <w:szCs w:val="22"/>
          <w14:ligatures w14:val="none"/>
        </w:rPr>
        <w:br/>
      </w:r>
      <w:r w:rsidRPr="00D767D2">
        <w:rPr>
          <w:rFonts w:ascii="Calibri" w:eastAsia="Times New Roman" w:hAnsi="Calibri" w:cs="Calibri"/>
          <w:b/>
          <w:bCs/>
          <w:color w:val="000000"/>
          <w:kern w:val="0"/>
          <w:sz w:val="22"/>
          <w:szCs w:val="22"/>
          <w14:ligatures w14:val="none"/>
        </w:rPr>
        <w:t>Payment:</w:t>
      </w:r>
      <w:r w:rsidRPr="00D767D2">
        <w:rPr>
          <w:rFonts w:ascii="Calibri" w:eastAsia="Times New Roman" w:hAnsi="Calibri" w:cs="Calibri"/>
          <w:color w:val="000000"/>
          <w:kern w:val="0"/>
          <w:sz w:val="22"/>
          <w:szCs w:val="22"/>
          <w14:ligatures w14:val="none"/>
        </w:rPr>
        <w:t> due </w:t>
      </w:r>
      <w:r w:rsidRPr="00D767D2">
        <w:rPr>
          <w:rFonts w:ascii="Calibri" w:eastAsia="Times New Roman" w:hAnsi="Calibri" w:cs="Calibri"/>
          <w:b/>
          <w:bCs/>
          <w:color w:val="000000"/>
          <w:kern w:val="0"/>
          <w:sz w:val="22"/>
          <w:szCs w:val="22"/>
          <w14:ligatures w14:val="none"/>
        </w:rPr>
        <w:t>30 days</w:t>
      </w:r>
      <w:r w:rsidRPr="00D767D2">
        <w:rPr>
          <w:rFonts w:ascii="Calibri" w:eastAsia="Times New Roman" w:hAnsi="Calibri" w:cs="Calibri"/>
          <w:color w:val="000000"/>
          <w:kern w:val="0"/>
          <w:sz w:val="22"/>
          <w:szCs w:val="22"/>
          <w14:ligatures w14:val="none"/>
        </w:rPr>
        <w:t> after report delivery.</w:t>
      </w:r>
      <w:r w:rsidRPr="00D767D2">
        <w:rPr>
          <w:rFonts w:ascii="Calibri" w:eastAsia="Times New Roman" w:hAnsi="Calibri" w:cs="Calibri"/>
          <w:color w:val="000000"/>
          <w:kern w:val="0"/>
          <w:sz w:val="22"/>
          <w:szCs w:val="22"/>
          <w14:ligatures w14:val="none"/>
        </w:rPr>
        <w:br/>
      </w:r>
      <w:r w:rsidRPr="00D767D2">
        <w:rPr>
          <w:rFonts w:ascii="Calibri" w:eastAsia="Times New Roman" w:hAnsi="Calibri" w:cs="Calibri"/>
          <w:b/>
          <w:bCs/>
          <w:color w:val="000000"/>
          <w:kern w:val="0"/>
          <w:sz w:val="22"/>
          <w:szCs w:val="22"/>
          <w14:ligatures w14:val="none"/>
        </w:rPr>
        <w:t>Minimum payout threshold:</w:t>
      </w:r>
      <w:r w:rsidRPr="00D767D2">
        <w:rPr>
          <w:rFonts w:ascii="Calibri" w:eastAsia="Times New Roman" w:hAnsi="Calibri" w:cs="Calibri"/>
          <w:color w:val="000000"/>
          <w:kern w:val="0"/>
          <w:sz w:val="22"/>
          <w:szCs w:val="22"/>
          <w14:ligatures w14:val="none"/>
        </w:rPr>
        <w:t> </w:t>
      </w:r>
      <w:r w:rsidRPr="00D767D2">
        <w:rPr>
          <w:rFonts w:ascii="Calibri" w:eastAsia="Times New Roman" w:hAnsi="Calibri" w:cs="Calibri"/>
          <w:b/>
          <w:bCs/>
          <w:color w:val="000000"/>
          <w:kern w:val="0"/>
          <w:sz w:val="22"/>
          <w:szCs w:val="22"/>
          <w14:ligatures w14:val="none"/>
        </w:rPr>
        <w:t>$50</w:t>
      </w:r>
      <w:r w:rsidRPr="00D767D2">
        <w:rPr>
          <w:rFonts w:ascii="Calibri" w:eastAsia="Times New Roman" w:hAnsi="Calibri" w:cs="Calibri"/>
          <w:color w:val="000000"/>
          <w:kern w:val="0"/>
          <w:sz w:val="22"/>
          <w:szCs w:val="22"/>
          <w14:ligatures w14:val="none"/>
        </w:rPr>
        <w:t>.</w:t>
      </w:r>
      <w:r w:rsidRPr="00D767D2">
        <w:rPr>
          <w:rFonts w:ascii="Calibri" w:eastAsia="Times New Roman" w:hAnsi="Calibri" w:cs="Calibri"/>
          <w:color w:val="000000"/>
          <w:kern w:val="0"/>
          <w:sz w:val="22"/>
          <w:szCs w:val="22"/>
          <w14:ligatures w14:val="none"/>
        </w:rPr>
        <w:br/>
      </w:r>
      <w:r w:rsidRPr="00D767D2">
        <w:rPr>
          <w:rFonts w:ascii="Calibri" w:eastAsia="Times New Roman" w:hAnsi="Calibri" w:cs="Calibri"/>
          <w:b/>
          <w:bCs/>
          <w:color w:val="000000"/>
          <w:kern w:val="0"/>
          <w:sz w:val="22"/>
          <w:szCs w:val="22"/>
          <w14:ligatures w14:val="none"/>
        </w:rPr>
        <w:t>Audit:</w:t>
      </w:r>
      <w:r w:rsidRPr="00D767D2">
        <w:rPr>
          <w:rFonts w:ascii="Calibri" w:eastAsia="Times New Roman" w:hAnsi="Calibri" w:cs="Calibri"/>
          <w:color w:val="000000"/>
          <w:kern w:val="0"/>
          <w:sz w:val="22"/>
          <w:szCs w:val="22"/>
          <w14:ligatures w14:val="none"/>
        </w:rPr>
        <w:t> Licensor may audit relevant records no more than </w:t>
      </w:r>
      <w:r w:rsidRPr="00D767D2">
        <w:rPr>
          <w:rFonts w:ascii="Calibri" w:eastAsia="Times New Roman" w:hAnsi="Calibri" w:cs="Calibri"/>
          <w:b/>
          <w:bCs/>
          <w:color w:val="000000"/>
          <w:kern w:val="0"/>
          <w:sz w:val="22"/>
          <w:szCs w:val="22"/>
          <w14:ligatures w14:val="none"/>
        </w:rPr>
        <w:t>1×/year</w:t>
      </w:r>
      <w:r w:rsidRPr="00D767D2">
        <w:rPr>
          <w:rFonts w:ascii="Calibri" w:eastAsia="Times New Roman" w:hAnsi="Calibri" w:cs="Calibri"/>
          <w:color w:val="000000"/>
          <w:kern w:val="0"/>
          <w:sz w:val="22"/>
          <w:szCs w:val="22"/>
          <w14:ligatures w14:val="none"/>
        </w:rPr>
        <w:t> with reasonable notice; cost shifting applies if underpayment exceeds </w:t>
      </w:r>
      <w:r w:rsidRPr="00D767D2">
        <w:rPr>
          <w:rFonts w:ascii="Calibri" w:eastAsia="Times New Roman" w:hAnsi="Calibri" w:cs="Calibri"/>
          <w:b/>
          <w:bCs/>
          <w:color w:val="000000"/>
          <w:kern w:val="0"/>
          <w:sz w:val="22"/>
          <w:szCs w:val="22"/>
          <w14:ligatures w14:val="none"/>
        </w:rPr>
        <w:t>10%</w:t>
      </w:r>
      <w:r w:rsidRPr="00D767D2">
        <w:rPr>
          <w:rFonts w:ascii="Calibri" w:eastAsia="Times New Roman" w:hAnsi="Calibri" w:cs="Calibri"/>
          <w:color w:val="000000"/>
          <w:kern w:val="0"/>
          <w:sz w:val="22"/>
          <w:szCs w:val="22"/>
          <w14:ligatures w14:val="none"/>
        </w:rPr>
        <w:t>.</w:t>
      </w:r>
    </w:p>
    <w:p w14:paraId="2C6E1CF7" w14:textId="77777777" w:rsidR="00D767D2" w:rsidRPr="00D767D2" w:rsidRDefault="00D767D2" w:rsidP="007131E7">
      <w:pPr>
        <w:pStyle w:val="Heading3"/>
        <w:rPr>
          <w:rFonts w:eastAsia="Times New Roman"/>
        </w:rPr>
      </w:pPr>
      <w:r w:rsidRPr="00D767D2">
        <w:rPr>
          <w:rFonts w:eastAsia="Times New Roman"/>
        </w:rPr>
        <w:t>6.6 Assignment / Sublicensing Consideration</w:t>
      </w:r>
    </w:p>
    <w:p w14:paraId="175A0201"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If Publisher receives any upfront fee, advance, minimum guarantee, or other consideration primarily in exchange for sublicensing or assigning rights to the Licensed Property or Licensed Products (as opposed to ordinary-course product sales), such net consideration will be treated as Net Receipts subject to the 5% royalty, after deduction of reasonable documented third-party transaction costs.</w:t>
      </w:r>
    </w:p>
    <w:p w14:paraId="730BA4C5" w14:textId="77777777" w:rsidR="00D767D2" w:rsidRPr="00D767D2" w:rsidRDefault="003E135D"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61AAA2CF">
          <v:rect id="_x0000_i1032" alt="" style="width:468pt;height:.05pt;mso-width-percent:0;mso-height-percent:0;mso-width-percent:0;mso-height-percent:0" o:hralign="center" o:hrstd="t" o:hr="t" fillcolor="#a0a0a0" stroked="f"/>
        </w:pict>
      </w:r>
    </w:p>
    <w:p w14:paraId="20BD138D" w14:textId="77777777" w:rsidR="00D767D2" w:rsidRPr="00D767D2" w:rsidRDefault="00D767D2" w:rsidP="00D767D2">
      <w:pPr>
        <w:pStyle w:val="Heading2"/>
        <w:rPr>
          <w:rFonts w:eastAsia="Times New Roman"/>
        </w:rPr>
      </w:pPr>
      <w:r w:rsidRPr="00D767D2">
        <w:rPr>
          <w:rFonts w:eastAsia="Times New Roman"/>
        </w:rPr>
        <w:t>7) Term, KS2 Window, Renewal, Reversion</w:t>
      </w:r>
    </w:p>
    <w:p w14:paraId="10A3D6FA" w14:textId="77777777" w:rsidR="00D767D2" w:rsidRPr="00D767D2" w:rsidRDefault="00D767D2" w:rsidP="007131E7">
      <w:pPr>
        <w:pStyle w:val="Heading3"/>
        <w:rPr>
          <w:rFonts w:eastAsia="Times New Roman"/>
        </w:rPr>
      </w:pPr>
      <w:r w:rsidRPr="00D767D2">
        <w:rPr>
          <w:rFonts w:eastAsia="Times New Roman"/>
        </w:rPr>
        <w:t>7.1 KS1 Phase</w:t>
      </w:r>
    </w:p>
    <w:p w14:paraId="787AE49F"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The exclusive license begins on the Effective Date and continues through completion of KS1 fulfillment and </w:t>
      </w:r>
      <w:r w:rsidRPr="00D767D2">
        <w:rPr>
          <w:rFonts w:ascii="Calibri" w:eastAsia="Times New Roman" w:hAnsi="Calibri" w:cs="Calibri"/>
          <w:b/>
          <w:bCs/>
          <w:color w:val="000000"/>
          <w:kern w:val="0"/>
          <w:sz w:val="22"/>
          <w:szCs w:val="22"/>
          <w14:ligatures w14:val="none"/>
        </w:rPr>
        <w:t>twelve (12) months</w:t>
      </w:r>
      <w:r w:rsidRPr="00D767D2">
        <w:rPr>
          <w:rFonts w:ascii="Calibri" w:eastAsia="Times New Roman" w:hAnsi="Calibri" w:cs="Calibri"/>
          <w:color w:val="000000"/>
          <w:kern w:val="0"/>
          <w:sz w:val="22"/>
          <w:szCs w:val="22"/>
          <w14:ligatures w14:val="none"/>
        </w:rPr>
        <w:t> thereafter (the “KS1 Phase”).</w:t>
      </w:r>
    </w:p>
    <w:p w14:paraId="1DA1A39F"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“Fulfillment Completion” means the earlier of: (i) shipment of at least </w:t>
      </w:r>
      <w:r w:rsidRPr="00D767D2">
        <w:rPr>
          <w:rFonts w:ascii="Calibri" w:eastAsia="Times New Roman" w:hAnsi="Calibri" w:cs="Calibri"/>
          <w:b/>
          <w:bCs/>
          <w:color w:val="000000"/>
          <w:kern w:val="0"/>
          <w:sz w:val="22"/>
          <w:szCs w:val="22"/>
          <w14:ligatures w14:val="none"/>
        </w:rPr>
        <w:t>95%</w:t>
      </w:r>
      <w:r w:rsidRPr="00D767D2">
        <w:rPr>
          <w:rFonts w:ascii="Calibri" w:eastAsia="Times New Roman" w:hAnsi="Calibri" w:cs="Calibri"/>
          <w:color w:val="000000"/>
          <w:kern w:val="0"/>
          <w:sz w:val="22"/>
          <w:szCs w:val="22"/>
          <w14:ligatures w14:val="none"/>
        </w:rPr>
        <w:t> of KS1 backer rewards for the Product (excluding returns/reships), or (ii) </w:t>
      </w:r>
      <w:r w:rsidRPr="00D767D2">
        <w:rPr>
          <w:rFonts w:ascii="Calibri" w:eastAsia="Times New Roman" w:hAnsi="Calibri" w:cs="Calibri"/>
          <w:b/>
          <w:bCs/>
          <w:color w:val="000000"/>
          <w:kern w:val="0"/>
          <w:sz w:val="22"/>
          <w:szCs w:val="22"/>
          <w14:ligatures w14:val="none"/>
        </w:rPr>
        <w:t>[__ backstop date]</w:t>
      </w:r>
      <w:r w:rsidRPr="00D767D2">
        <w:rPr>
          <w:rFonts w:ascii="Calibri" w:eastAsia="Times New Roman" w:hAnsi="Calibri" w:cs="Calibri"/>
          <w:color w:val="000000"/>
          <w:kern w:val="0"/>
          <w:sz w:val="22"/>
          <w:szCs w:val="22"/>
          <w14:ligatures w14:val="none"/>
        </w:rPr>
        <w:t>, subject to reasonable delays and good-faith updates.</w:t>
      </w:r>
    </w:p>
    <w:p w14:paraId="5D0EC7FA" w14:textId="77777777" w:rsidR="00D767D2" w:rsidRPr="00D767D2" w:rsidRDefault="00D767D2" w:rsidP="007131E7">
      <w:pPr>
        <w:pStyle w:val="Heading3"/>
        <w:rPr>
          <w:rFonts w:eastAsia="Times New Roman"/>
        </w:rPr>
      </w:pPr>
      <w:r w:rsidRPr="00D767D2">
        <w:rPr>
          <w:rFonts w:eastAsia="Times New Roman"/>
        </w:rPr>
        <w:t>7.2 KS2 Option Window (Starts at Fulfillment Completion; 36 Months)</w:t>
      </w:r>
    </w:p>
    <w:p w14:paraId="1B1AAB06"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Beginning on Fulfillment Completion, Publisher shall have an exclusive option to develop and launch KS2 (or issue a manufacturing purchase order for a KS2 reprint) for </w:t>
      </w:r>
      <w:r w:rsidRPr="00D767D2">
        <w:rPr>
          <w:rFonts w:ascii="Calibri" w:eastAsia="Times New Roman" w:hAnsi="Calibri" w:cs="Calibri"/>
          <w:b/>
          <w:bCs/>
          <w:color w:val="000000"/>
          <w:kern w:val="0"/>
          <w:sz w:val="22"/>
          <w:szCs w:val="22"/>
          <w14:ligatures w14:val="none"/>
        </w:rPr>
        <w:t>thirty-six (36) months</w:t>
      </w:r>
      <w:r w:rsidRPr="00D767D2">
        <w:rPr>
          <w:rFonts w:ascii="Calibri" w:eastAsia="Times New Roman" w:hAnsi="Calibri" w:cs="Calibri"/>
          <w:color w:val="000000"/>
          <w:kern w:val="0"/>
          <w:sz w:val="22"/>
          <w:szCs w:val="22"/>
          <w14:ligatures w14:val="none"/>
        </w:rPr>
        <w:t> (the “KS2 Option Window”).</w:t>
      </w:r>
    </w:p>
    <w:p w14:paraId="691FB98D"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Concurrency:</w:t>
      </w:r>
      <w:r w:rsidRPr="00D767D2">
        <w:rPr>
          <w:rFonts w:ascii="Calibri" w:eastAsia="Times New Roman" w:hAnsi="Calibri" w:cs="Calibri"/>
          <w:color w:val="000000"/>
          <w:kern w:val="0"/>
          <w:sz w:val="22"/>
          <w:szCs w:val="22"/>
          <w14:ligatures w14:val="none"/>
        </w:rPr>
        <w:t> The KS2 Option Window runs concurrently with (and is not delayed by) the KS1 Phase’s twelve (12) month post-fulfillment period.</w:t>
      </w:r>
    </w:p>
    <w:p w14:paraId="011E5528" w14:textId="77777777" w:rsidR="00D767D2" w:rsidRPr="00D767D2" w:rsidRDefault="00D767D2" w:rsidP="007131E7">
      <w:pPr>
        <w:pStyle w:val="Heading3"/>
        <w:rPr>
          <w:rFonts w:eastAsia="Times New Roman"/>
        </w:rPr>
      </w:pPr>
      <w:r w:rsidRPr="00D767D2">
        <w:rPr>
          <w:rFonts w:eastAsia="Times New Roman"/>
        </w:rPr>
        <w:t>7.3 KS2 Phase; Auto-Renew While Active</w:t>
      </w:r>
    </w:p>
    <w:p w14:paraId="03B58779"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If KS2 occurs within the KS2 Option Window, the term extends for </w:t>
      </w:r>
      <w:r w:rsidRPr="00D767D2">
        <w:rPr>
          <w:rFonts w:ascii="Calibri" w:eastAsia="Times New Roman" w:hAnsi="Calibri" w:cs="Calibri"/>
          <w:b/>
          <w:bCs/>
          <w:color w:val="000000"/>
          <w:kern w:val="0"/>
          <w:sz w:val="22"/>
          <w:szCs w:val="22"/>
          <w14:ligatures w14:val="none"/>
        </w:rPr>
        <w:t>three (3) years</w:t>
      </w:r>
      <w:r w:rsidRPr="00D767D2">
        <w:rPr>
          <w:rFonts w:ascii="Calibri" w:eastAsia="Times New Roman" w:hAnsi="Calibri" w:cs="Calibri"/>
          <w:color w:val="000000"/>
          <w:kern w:val="0"/>
          <w:sz w:val="22"/>
          <w:szCs w:val="22"/>
          <w14:ligatures w14:val="none"/>
        </w:rPr>
        <w:t> from KS2 launch, then auto-renews annually while:</w:t>
      </w:r>
    </w:p>
    <w:p w14:paraId="661AD950" w14:textId="77777777" w:rsidR="00D767D2" w:rsidRPr="00D767D2" w:rsidRDefault="00D767D2" w:rsidP="00D767D2">
      <w:pPr>
        <w:numPr>
          <w:ilvl w:val="0"/>
          <w:numId w:val="12"/>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Licensed Products are </w:t>
      </w:r>
      <w:r w:rsidRPr="00D767D2">
        <w:rPr>
          <w:rFonts w:ascii="Calibri" w:eastAsia="Times New Roman" w:hAnsi="Calibri" w:cs="Calibri"/>
          <w:b/>
          <w:bCs/>
          <w:color w:val="000000"/>
          <w:kern w:val="0"/>
          <w:sz w:val="22"/>
          <w:szCs w:val="22"/>
          <w14:ligatures w14:val="none"/>
        </w:rPr>
        <w:t>In Print</w:t>
      </w:r>
      <w:r w:rsidRPr="00D767D2">
        <w:rPr>
          <w:rFonts w:ascii="Calibri" w:eastAsia="Times New Roman" w:hAnsi="Calibri" w:cs="Calibri"/>
          <w:color w:val="000000"/>
          <w:kern w:val="0"/>
          <w:sz w:val="22"/>
          <w:szCs w:val="22"/>
          <w14:ligatures w14:val="none"/>
        </w:rPr>
        <w:t>, and</w:t>
      </w:r>
    </w:p>
    <w:p w14:paraId="2F0FCBC9" w14:textId="77777777" w:rsidR="00D767D2" w:rsidRPr="00D767D2" w:rsidRDefault="00D767D2" w:rsidP="00D767D2">
      <w:pPr>
        <w:numPr>
          <w:ilvl w:val="0"/>
          <w:numId w:val="12"/>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Publisher is current on reporting and payment obligations.</w:t>
      </w:r>
    </w:p>
    <w:p w14:paraId="0C09A79A"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lastRenderedPageBreak/>
        <w:t>In Print</w:t>
      </w:r>
      <w:r w:rsidRPr="00D767D2">
        <w:rPr>
          <w:rFonts w:ascii="Calibri" w:eastAsia="Times New Roman" w:hAnsi="Calibri" w:cs="Calibri"/>
          <w:color w:val="000000"/>
          <w:kern w:val="0"/>
          <w:sz w:val="22"/>
          <w:szCs w:val="22"/>
          <w14:ligatures w14:val="none"/>
        </w:rPr>
        <w:t> means Publisher is actively offering Licensed Products for sale through at least one commercial channel and can ship within </w:t>
      </w:r>
      <w:r w:rsidRPr="00D767D2">
        <w:rPr>
          <w:rFonts w:ascii="Calibri" w:eastAsia="Times New Roman" w:hAnsi="Calibri" w:cs="Calibri"/>
          <w:b/>
          <w:bCs/>
          <w:color w:val="000000"/>
          <w:kern w:val="0"/>
          <w:sz w:val="22"/>
          <w:szCs w:val="22"/>
          <w14:ligatures w14:val="none"/>
        </w:rPr>
        <w:t>45 days</w:t>
      </w:r>
      <w:r w:rsidRPr="00D767D2">
        <w:rPr>
          <w:rFonts w:ascii="Calibri" w:eastAsia="Times New Roman" w:hAnsi="Calibri" w:cs="Calibri"/>
          <w:color w:val="000000"/>
          <w:kern w:val="0"/>
          <w:sz w:val="22"/>
          <w:szCs w:val="22"/>
          <w14:ligatures w14:val="none"/>
        </w:rPr>
        <w:t>, excluding ordinary supply chain disruptions.</w:t>
      </w:r>
    </w:p>
    <w:p w14:paraId="696F80A8" w14:textId="77777777" w:rsidR="00D767D2" w:rsidRPr="00D767D2" w:rsidRDefault="00D767D2" w:rsidP="007131E7">
      <w:pPr>
        <w:pStyle w:val="Heading3"/>
        <w:rPr>
          <w:rFonts w:eastAsia="Times New Roman"/>
        </w:rPr>
      </w:pPr>
      <w:r w:rsidRPr="00D767D2">
        <w:rPr>
          <w:rFonts w:eastAsia="Times New Roman"/>
        </w:rPr>
        <w:t>7.4 Reversion Triggers</w:t>
      </w:r>
    </w:p>
    <w:p w14:paraId="75A79255"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Rights to the Licensed Property revert to Licensor (subject to sell-off) if:</w:t>
      </w:r>
    </w:p>
    <w:p w14:paraId="38A5B6E6" w14:textId="77777777" w:rsidR="00D767D2" w:rsidRPr="00D767D2" w:rsidRDefault="00D767D2" w:rsidP="00D767D2">
      <w:pPr>
        <w:numPr>
          <w:ilvl w:val="0"/>
          <w:numId w:val="13"/>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Failure to launch KS1 by </w:t>
      </w:r>
      <w:r w:rsidRPr="00D767D2">
        <w:rPr>
          <w:rFonts w:ascii="Calibri" w:eastAsia="Times New Roman" w:hAnsi="Calibri" w:cs="Calibri"/>
          <w:b/>
          <w:bCs/>
          <w:color w:val="000000"/>
          <w:kern w:val="0"/>
          <w:sz w:val="22"/>
          <w:szCs w:val="22"/>
          <w14:ligatures w14:val="none"/>
        </w:rPr>
        <w:t>[__ date]</w:t>
      </w:r>
      <w:r w:rsidRPr="00D767D2">
        <w:rPr>
          <w:rFonts w:ascii="Calibri" w:eastAsia="Times New Roman" w:hAnsi="Calibri" w:cs="Calibri"/>
          <w:color w:val="000000"/>
          <w:kern w:val="0"/>
          <w:sz w:val="22"/>
          <w:szCs w:val="22"/>
          <w14:ligatures w14:val="none"/>
        </w:rPr>
        <w:t>, after written notice and a </w:t>
      </w:r>
      <w:r w:rsidRPr="00D767D2">
        <w:rPr>
          <w:rFonts w:ascii="Calibri" w:eastAsia="Times New Roman" w:hAnsi="Calibri" w:cs="Calibri"/>
          <w:b/>
          <w:bCs/>
          <w:color w:val="000000"/>
          <w:kern w:val="0"/>
          <w:sz w:val="22"/>
          <w:szCs w:val="22"/>
          <w14:ligatures w14:val="none"/>
        </w:rPr>
        <w:t>[__]-day</w:t>
      </w:r>
      <w:r w:rsidRPr="00D767D2">
        <w:rPr>
          <w:rFonts w:ascii="Calibri" w:eastAsia="Times New Roman" w:hAnsi="Calibri" w:cs="Calibri"/>
          <w:color w:val="000000"/>
          <w:kern w:val="0"/>
          <w:sz w:val="22"/>
          <w:szCs w:val="22"/>
          <w14:ligatures w14:val="none"/>
        </w:rPr>
        <w:t> cure period; or</w:t>
      </w:r>
    </w:p>
    <w:p w14:paraId="48665E4F" w14:textId="77777777" w:rsidR="00D767D2" w:rsidRPr="00D767D2" w:rsidRDefault="00D767D2" w:rsidP="00D767D2">
      <w:pPr>
        <w:numPr>
          <w:ilvl w:val="0"/>
          <w:numId w:val="13"/>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No KS2 launch or KS2 reprint PO within the KS2 Option Window; or</w:t>
      </w:r>
    </w:p>
    <w:p w14:paraId="1A3CE4DA" w14:textId="77777777" w:rsidR="00D767D2" w:rsidRPr="00D767D2" w:rsidRDefault="00D767D2" w:rsidP="00D767D2">
      <w:pPr>
        <w:numPr>
          <w:ilvl w:val="0"/>
          <w:numId w:val="13"/>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After the KS2 Phase begins, Licensed Products are not In Print for </w:t>
      </w:r>
      <w:r w:rsidRPr="00D767D2">
        <w:rPr>
          <w:rFonts w:ascii="Calibri" w:eastAsia="Times New Roman" w:hAnsi="Calibri" w:cs="Calibri"/>
          <w:b/>
          <w:bCs/>
          <w:color w:val="000000"/>
          <w:kern w:val="0"/>
          <w:sz w:val="22"/>
          <w:szCs w:val="22"/>
          <w14:ligatures w14:val="none"/>
        </w:rPr>
        <w:t>twelve (12) consecutive months</w:t>
      </w:r>
      <w:r w:rsidRPr="00D767D2">
        <w:rPr>
          <w:rFonts w:ascii="Calibri" w:eastAsia="Times New Roman" w:hAnsi="Calibri" w:cs="Calibri"/>
          <w:color w:val="000000"/>
          <w:kern w:val="0"/>
          <w:sz w:val="22"/>
          <w:szCs w:val="22"/>
          <w14:ligatures w14:val="none"/>
        </w:rPr>
        <w:t>, after notice and a </w:t>
      </w:r>
      <w:r w:rsidRPr="00D767D2">
        <w:rPr>
          <w:rFonts w:ascii="Calibri" w:eastAsia="Times New Roman" w:hAnsi="Calibri" w:cs="Calibri"/>
          <w:b/>
          <w:bCs/>
          <w:color w:val="000000"/>
          <w:kern w:val="0"/>
          <w:sz w:val="22"/>
          <w:szCs w:val="22"/>
          <w14:ligatures w14:val="none"/>
        </w:rPr>
        <w:t>ninety (90) day</w:t>
      </w:r>
      <w:r w:rsidRPr="00D767D2">
        <w:rPr>
          <w:rFonts w:ascii="Calibri" w:eastAsia="Times New Roman" w:hAnsi="Calibri" w:cs="Calibri"/>
          <w:color w:val="000000"/>
          <w:kern w:val="0"/>
          <w:sz w:val="22"/>
          <w:szCs w:val="22"/>
          <w14:ligatures w14:val="none"/>
        </w:rPr>
        <w:t> cure period; or</w:t>
      </w:r>
    </w:p>
    <w:p w14:paraId="2D24451B" w14:textId="77777777" w:rsidR="00D767D2" w:rsidRPr="00D767D2" w:rsidRDefault="00D767D2" w:rsidP="00D767D2">
      <w:pPr>
        <w:numPr>
          <w:ilvl w:val="0"/>
          <w:numId w:val="13"/>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Material nonreporting/nonpayment not cured within </w:t>
      </w:r>
      <w:r w:rsidRPr="00D767D2">
        <w:rPr>
          <w:rFonts w:ascii="Calibri" w:eastAsia="Times New Roman" w:hAnsi="Calibri" w:cs="Calibri"/>
          <w:b/>
          <w:bCs/>
          <w:color w:val="000000"/>
          <w:kern w:val="0"/>
          <w:sz w:val="22"/>
          <w:szCs w:val="22"/>
          <w14:ligatures w14:val="none"/>
        </w:rPr>
        <w:t>forty-five (45) days</w:t>
      </w:r>
      <w:r w:rsidRPr="00D767D2">
        <w:rPr>
          <w:rFonts w:ascii="Calibri" w:eastAsia="Times New Roman" w:hAnsi="Calibri" w:cs="Calibri"/>
          <w:color w:val="000000"/>
          <w:kern w:val="0"/>
          <w:sz w:val="22"/>
          <w:szCs w:val="22"/>
          <w14:ligatures w14:val="none"/>
        </w:rPr>
        <w:t> after notice; or</w:t>
      </w:r>
    </w:p>
    <w:p w14:paraId="637BE257" w14:textId="77777777" w:rsidR="00D767D2" w:rsidRPr="00D767D2" w:rsidRDefault="00D767D2" w:rsidP="00D767D2">
      <w:pPr>
        <w:numPr>
          <w:ilvl w:val="0"/>
          <w:numId w:val="13"/>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Insolvency/bankruptcy event occurs.</w:t>
      </w:r>
    </w:p>
    <w:p w14:paraId="22A71307" w14:textId="77777777" w:rsidR="00D767D2" w:rsidRPr="00D767D2" w:rsidRDefault="003E135D"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17DA7989">
          <v:rect id="_x0000_i1031" alt="" style="width:468pt;height:.05pt;mso-width-percent:0;mso-height-percent:0;mso-width-percent:0;mso-height-percent:0" o:hralign="center" o:hrstd="t" o:hr="t" fillcolor="#a0a0a0" stroked="f"/>
        </w:pict>
      </w:r>
    </w:p>
    <w:p w14:paraId="7E91AAD6" w14:textId="77777777" w:rsidR="00D767D2" w:rsidRPr="00D767D2" w:rsidRDefault="00D767D2" w:rsidP="00D767D2">
      <w:pPr>
        <w:pStyle w:val="Heading2"/>
        <w:rPr>
          <w:rFonts w:eastAsia="Times New Roman"/>
        </w:rPr>
      </w:pPr>
      <w:r w:rsidRPr="00D767D2">
        <w:rPr>
          <w:rFonts w:eastAsia="Times New Roman"/>
        </w:rPr>
        <w:t>8) IG/TikTok Story Campaign (If Included)</w:t>
      </w:r>
    </w:p>
    <w:p w14:paraId="3553D5E5"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Minimum </w:t>
      </w:r>
      <w:r w:rsidRPr="00D767D2">
        <w:rPr>
          <w:rFonts w:ascii="Calibri" w:eastAsia="Times New Roman" w:hAnsi="Calibri" w:cs="Calibri"/>
          <w:b/>
          <w:bCs/>
          <w:color w:val="000000"/>
          <w:kern w:val="0"/>
          <w:sz w:val="22"/>
          <w:szCs w:val="22"/>
          <w14:ligatures w14:val="none"/>
        </w:rPr>
        <w:t>10</w:t>
      </w:r>
      <w:r w:rsidRPr="00D767D2">
        <w:rPr>
          <w:rFonts w:ascii="Calibri" w:eastAsia="Times New Roman" w:hAnsi="Calibri" w:cs="Calibri"/>
          <w:color w:val="000000"/>
          <w:kern w:val="0"/>
          <w:sz w:val="22"/>
          <w:szCs w:val="22"/>
          <w14:ligatures w14:val="none"/>
        </w:rPr>
        <w:t> story placements during the 10-week lead-up to KS1 (week -10 to week -1) at </w:t>
      </w:r>
      <w:r w:rsidRPr="00D767D2">
        <w:rPr>
          <w:rFonts w:ascii="Calibri" w:eastAsia="Times New Roman" w:hAnsi="Calibri" w:cs="Calibri"/>
          <w:b/>
          <w:bCs/>
          <w:color w:val="000000"/>
          <w:kern w:val="0"/>
          <w:sz w:val="22"/>
          <w:szCs w:val="22"/>
          <w14:ligatures w14:val="none"/>
        </w:rPr>
        <w:t>$50/story</w:t>
      </w:r>
      <w:r w:rsidRPr="00D767D2">
        <w:rPr>
          <w:rFonts w:ascii="Calibri" w:eastAsia="Times New Roman" w:hAnsi="Calibri" w:cs="Calibri"/>
          <w:color w:val="000000"/>
          <w:kern w:val="0"/>
          <w:sz w:val="22"/>
          <w:szCs w:val="22"/>
          <w14:ligatures w14:val="none"/>
        </w:rPr>
        <w:t>, schedule locked by </w:t>
      </w:r>
      <w:r w:rsidRPr="00D767D2">
        <w:rPr>
          <w:rFonts w:ascii="Calibri" w:eastAsia="Times New Roman" w:hAnsi="Calibri" w:cs="Calibri"/>
          <w:b/>
          <w:bCs/>
          <w:color w:val="000000"/>
          <w:kern w:val="0"/>
          <w:sz w:val="22"/>
          <w:szCs w:val="22"/>
          <w14:ligatures w14:val="none"/>
        </w:rPr>
        <w:t>[__ date]</w:t>
      </w:r>
      <w:r w:rsidRPr="00D767D2">
        <w:rPr>
          <w:rFonts w:ascii="Calibri" w:eastAsia="Times New Roman" w:hAnsi="Calibri" w:cs="Calibri"/>
          <w:color w:val="000000"/>
          <w:kern w:val="0"/>
          <w:sz w:val="22"/>
          <w:szCs w:val="22"/>
          <w14:ligatures w14:val="none"/>
        </w:rPr>
        <w:t>. Proof within 24 hours; make-good within 7 days or refund for that placement. Administrative details may be further specified in Exhibit A.</w:t>
      </w:r>
    </w:p>
    <w:p w14:paraId="6C41794C" w14:textId="77777777" w:rsidR="00D767D2" w:rsidRPr="00D767D2" w:rsidRDefault="00D767D2" w:rsidP="00557494">
      <w:pPr>
        <w:pStyle w:val="Heading2"/>
        <w:rPr>
          <w:rFonts w:eastAsia="Times New Roman"/>
        </w:rPr>
      </w:pPr>
      <w:r w:rsidRPr="00D767D2">
        <w:rPr>
          <w:rFonts w:eastAsia="Times New Roman"/>
        </w:rPr>
        <w:t>9) Credits &amp; Portfolio</w:t>
      </w:r>
    </w:p>
    <w:p w14:paraId="26D740E9"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Publisher provides standard artist/IP credit where customary. Licensor may display commissioned work in portfolio after public reveal, subject to reasonable confidentiality prior to reveal.</w:t>
      </w:r>
    </w:p>
    <w:p w14:paraId="2AE1FE7E" w14:textId="77777777" w:rsidR="00D767D2" w:rsidRPr="00D767D2" w:rsidRDefault="00D767D2" w:rsidP="00557494">
      <w:pPr>
        <w:pStyle w:val="Heading2"/>
        <w:rPr>
          <w:rFonts w:eastAsia="Times New Roman"/>
        </w:rPr>
      </w:pPr>
      <w:r w:rsidRPr="00D767D2">
        <w:rPr>
          <w:rFonts w:eastAsia="Times New Roman"/>
        </w:rPr>
        <w:t>10) Ownership; Logo; Warranties</w:t>
      </w:r>
    </w:p>
    <w:p w14:paraId="3AECE511"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Licensor Ownership.</w:t>
      </w:r>
      <w:r w:rsidRPr="00D767D2">
        <w:rPr>
          <w:rFonts w:ascii="Calibri" w:eastAsia="Times New Roman" w:hAnsi="Calibri" w:cs="Calibri"/>
          <w:color w:val="000000"/>
          <w:kern w:val="0"/>
          <w:sz w:val="22"/>
          <w:szCs w:val="22"/>
          <w14:ligatures w14:val="none"/>
        </w:rPr>
        <w:t> Licensor retains all right, title, and interest in and to (i) the Licensed Property and (ii) the Franchise Marks.</w:t>
      </w:r>
    </w:p>
    <w:p w14:paraId="2D1C86FB"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Publisher Ownership.</w:t>
      </w:r>
      <w:r w:rsidRPr="00D767D2">
        <w:rPr>
          <w:rFonts w:ascii="Calibri" w:eastAsia="Times New Roman" w:hAnsi="Calibri" w:cs="Calibri"/>
          <w:color w:val="000000"/>
          <w:kern w:val="0"/>
          <w:sz w:val="22"/>
          <w:szCs w:val="22"/>
          <w14:ligatures w14:val="none"/>
        </w:rPr>
        <w:t> Subject to the license granted herein, Publisher retains all right, title, and interest in and to (i) the game rules/mechanics and Publisher-created content that does not constitute Licensed Property, and (ii) the Product Marks and Publisher house marks. For clarity, Publisher will not own the Franchise Marks.</w:t>
      </w:r>
    </w:p>
    <w:p w14:paraId="3A7321CD"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Game Logo.</w:t>
      </w:r>
      <w:r w:rsidRPr="00D767D2">
        <w:rPr>
          <w:rFonts w:ascii="Calibri" w:eastAsia="Times New Roman" w:hAnsi="Calibri" w:cs="Calibri"/>
          <w:color w:val="000000"/>
          <w:kern w:val="0"/>
          <w:sz w:val="22"/>
          <w:szCs w:val="22"/>
          <w14:ligatures w14:val="none"/>
        </w:rPr>
        <w:t> The game logo deliverable is a “work made for hire” to the maximum extent permitted by law; to the extent not a work made for hire, Licensor hereby assigns to Publisher all right, title, and interest in and to such logo and associated copyrights.</w:t>
      </w:r>
    </w:p>
    <w:p w14:paraId="6DE48E69"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b/>
          <w:bCs/>
          <w:color w:val="000000"/>
          <w:kern w:val="0"/>
          <w:sz w:val="22"/>
          <w:szCs w:val="22"/>
          <w14:ligatures w14:val="none"/>
        </w:rPr>
        <w:t>Warranties; Limited Indemnity.</w:t>
      </w:r>
      <w:r w:rsidRPr="00D767D2">
        <w:rPr>
          <w:rFonts w:ascii="Calibri" w:eastAsia="Times New Roman" w:hAnsi="Calibri" w:cs="Calibri"/>
          <w:color w:val="000000"/>
          <w:kern w:val="0"/>
          <w:sz w:val="22"/>
          <w:szCs w:val="22"/>
          <w14:ligatures w14:val="none"/>
        </w:rPr>
        <w:t> Licensor warrants commissioned works are original and properly licensed; no unlicensed third-party stock/fonts/assets. Licensor will indemnify Publisher against third-party IP infringement claims arising from Licensor’s breach of the foregoing warranty, with such indemnity capped at amounts paid under the Definitive Agreement (except fraud/willful misconduct).</w:t>
      </w:r>
    </w:p>
    <w:p w14:paraId="74384349" w14:textId="77777777" w:rsidR="00D767D2" w:rsidRPr="00D767D2" w:rsidRDefault="00D767D2" w:rsidP="00557494">
      <w:pPr>
        <w:pStyle w:val="Heading2"/>
        <w:rPr>
          <w:rFonts w:eastAsia="Times New Roman"/>
        </w:rPr>
      </w:pPr>
      <w:r w:rsidRPr="00D767D2">
        <w:rPr>
          <w:rFonts w:eastAsia="Times New Roman"/>
        </w:rPr>
        <w:lastRenderedPageBreak/>
        <w:t>11) Publisher Termination for Convenience</w:t>
      </w:r>
    </w:p>
    <w:p w14:paraId="2D7A2C00"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Publisher may terminate the license for convenience on </w:t>
      </w:r>
      <w:r w:rsidRPr="00D767D2">
        <w:rPr>
          <w:rFonts w:ascii="Calibri" w:eastAsia="Times New Roman" w:hAnsi="Calibri" w:cs="Calibri"/>
          <w:b/>
          <w:bCs/>
          <w:color w:val="000000"/>
          <w:kern w:val="0"/>
          <w:sz w:val="22"/>
          <w:szCs w:val="22"/>
          <w14:ligatures w14:val="none"/>
        </w:rPr>
        <w:t>one hundred twenty (120) days’</w:t>
      </w:r>
      <w:r w:rsidRPr="00D767D2">
        <w:rPr>
          <w:rFonts w:ascii="Calibri" w:eastAsia="Times New Roman" w:hAnsi="Calibri" w:cs="Calibri"/>
          <w:color w:val="000000"/>
          <w:kern w:val="0"/>
          <w:sz w:val="22"/>
          <w:szCs w:val="22"/>
          <w14:ligatures w14:val="none"/>
        </w:rPr>
        <w:t> written notice, effective no earlier than Fulfillment Completion. Sell-off applies; royalties/reporting remain due for sell-off sales.</w:t>
      </w:r>
    </w:p>
    <w:p w14:paraId="42F6C5CE" w14:textId="77777777" w:rsidR="00D767D2" w:rsidRPr="00D767D2" w:rsidRDefault="00D767D2" w:rsidP="00557494">
      <w:pPr>
        <w:pStyle w:val="Heading2"/>
        <w:rPr>
          <w:rFonts w:eastAsia="Times New Roman"/>
        </w:rPr>
      </w:pPr>
      <w:r w:rsidRPr="00D767D2">
        <w:rPr>
          <w:rFonts w:eastAsia="Times New Roman"/>
        </w:rPr>
        <w:t>12) Non-Binding; Governing Law</w:t>
      </w:r>
    </w:p>
    <w:p w14:paraId="100F4675"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This term sheet is non-binding for negotiation purposes only, except as expressly stated in the Definitive Agreement (e.g., confidentiality/no-shop if included). Governing law: </w:t>
      </w:r>
      <w:r w:rsidRPr="00D767D2">
        <w:rPr>
          <w:rFonts w:ascii="Calibri" w:eastAsia="Times New Roman" w:hAnsi="Calibri" w:cs="Calibri"/>
          <w:b/>
          <w:bCs/>
          <w:color w:val="000000"/>
          <w:kern w:val="0"/>
          <w:sz w:val="22"/>
          <w:szCs w:val="22"/>
          <w14:ligatures w14:val="none"/>
        </w:rPr>
        <w:t>Arizona</w:t>
      </w:r>
      <w:r w:rsidRPr="00D767D2">
        <w:rPr>
          <w:rFonts w:ascii="Calibri" w:eastAsia="Times New Roman" w:hAnsi="Calibri" w:cs="Calibri"/>
          <w:color w:val="000000"/>
          <w:kern w:val="0"/>
          <w:sz w:val="22"/>
          <w:szCs w:val="22"/>
          <w14:ligatures w14:val="none"/>
        </w:rPr>
        <w:t>.</w:t>
      </w:r>
    </w:p>
    <w:p w14:paraId="350EA915" w14:textId="77777777" w:rsidR="00D767D2" w:rsidRPr="00D767D2" w:rsidRDefault="003E135D"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7BFE5231">
          <v:rect id="_x0000_i1030" alt="" style="width:468pt;height:.05pt;mso-width-percent:0;mso-height-percent:0;mso-width-percent:0;mso-height-percent:0" o:hralign="center" o:hrstd="t" o:hr="t" fillcolor="#a0a0a0" stroked="f"/>
        </w:pict>
      </w:r>
    </w:p>
    <w:p w14:paraId="0E795569" w14:textId="77777777" w:rsidR="00D767D2" w:rsidRPr="00D767D2" w:rsidRDefault="00D767D2" w:rsidP="00D767D2">
      <w:pPr>
        <w:spacing w:before="100" w:beforeAutospacing="1" w:after="100" w:afterAutospacing="1" w:line="240" w:lineRule="auto"/>
        <w:outlineLvl w:val="1"/>
        <w:rPr>
          <w:rFonts w:ascii="Calibri" w:eastAsia="Times New Roman" w:hAnsi="Calibri" w:cs="Calibri"/>
          <w:b/>
          <w:bCs/>
          <w:color w:val="000000"/>
          <w:kern w:val="0"/>
          <w:sz w:val="22"/>
          <w:szCs w:val="22"/>
          <w14:ligatures w14:val="none"/>
        </w:rPr>
      </w:pPr>
      <w:r w:rsidRPr="00D767D2">
        <w:rPr>
          <w:rFonts w:ascii="Calibri" w:eastAsia="Times New Roman" w:hAnsi="Calibri" w:cs="Calibri"/>
          <w:b/>
          <w:bCs/>
          <w:color w:val="000000"/>
          <w:kern w:val="0"/>
          <w:sz w:val="22"/>
          <w:szCs w:val="22"/>
          <w14:ligatures w14:val="none"/>
        </w:rPr>
        <w:t>Acknowledged (Non-Binding)</w:t>
      </w:r>
    </w:p>
    <w:p w14:paraId="5FCE5B42"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Publisher: _______________________________ Date: _______________</w:t>
      </w:r>
      <w:r w:rsidRPr="00D767D2">
        <w:rPr>
          <w:rFonts w:ascii="Calibri" w:eastAsia="Times New Roman" w:hAnsi="Calibri" w:cs="Calibri"/>
          <w:color w:val="000000"/>
          <w:kern w:val="0"/>
          <w:sz w:val="22"/>
          <w:szCs w:val="22"/>
          <w14:ligatures w14:val="none"/>
        </w:rPr>
        <w:br/>
        <w:t>Licensor: ________________________________ Date: _______________</w:t>
      </w:r>
    </w:p>
    <w:p w14:paraId="0A8FE313" w14:textId="77777777" w:rsidR="00D767D2" w:rsidRPr="00D767D2" w:rsidRDefault="003E135D"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64197458">
          <v:rect id="_x0000_i1029" alt="" style="width:468pt;height:.05pt;mso-width-percent:0;mso-height-percent:0;mso-width-percent:0;mso-height-percent:0" o:hralign="center" o:hrstd="t" o:hr="t" fillcolor="#a0a0a0" stroked="f"/>
        </w:pict>
      </w:r>
    </w:p>
    <w:p w14:paraId="655FF789" w14:textId="77777777" w:rsidR="007131E7" w:rsidRDefault="007131E7">
      <w:pPr>
        <w:rPr>
          <w:rFonts w:asciiTheme="majorHAnsi" w:eastAsia="Times New Roman" w:hAnsiTheme="majorHAnsi" w:cstheme="majorBidi"/>
          <w:color w:val="0F4761" w:themeColor="accent1" w:themeShade="BF"/>
          <w:sz w:val="40"/>
          <w:szCs w:val="40"/>
        </w:rPr>
      </w:pPr>
      <w:r>
        <w:rPr>
          <w:rFonts w:eastAsia="Times New Roman"/>
        </w:rPr>
        <w:br w:type="page"/>
      </w:r>
    </w:p>
    <w:p w14:paraId="4D06F930" w14:textId="17C46B95" w:rsidR="00D767D2" w:rsidRPr="00D767D2" w:rsidRDefault="00D767D2" w:rsidP="00557494">
      <w:pPr>
        <w:pStyle w:val="Heading1"/>
        <w:rPr>
          <w:rFonts w:eastAsia="Times New Roman"/>
        </w:rPr>
      </w:pPr>
      <w:r w:rsidRPr="00D767D2">
        <w:rPr>
          <w:rFonts w:eastAsia="Times New Roman"/>
        </w:rPr>
        <w:lastRenderedPageBreak/>
        <w:t>EXHIBIT A — Deliverables, Specs, Schedule, Commission Payments</w:t>
      </w:r>
    </w:p>
    <w:p w14:paraId="1F928380" w14:textId="77777777" w:rsidR="00D767D2" w:rsidRPr="00D767D2" w:rsidRDefault="00D767D2" w:rsidP="00557494">
      <w:pPr>
        <w:pStyle w:val="Heading2"/>
        <w:rPr>
          <w:rFonts w:eastAsia="Times New Roman"/>
        </w:rPr>
      </w:pPr>
      <w:r w:rsidRPr="00D767D2">
        <w:rPr>
          <w:rFonts w:eastAsia="Times New Roman"/>
        </w:rPr>
        <w:t>A1. Fixed-Fee Deliverables &amp; Fees</w:t>
      </w:r>
    </w:p>
    <w:p w14:paraId="52CB8FE7" w14:textId="77777777" w:rsidR="00D767D2" w:rsidRPr="00D767D2" w:rsidRDefault="00D767D2" w:rsidP="00D767D2">
      <w:pPr>
        <w:numPr>
          <w:ilvl w:val="0"/>
          <w:numId w:val="14"/>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Faction pieces (6): 6 × $350 = $2,100</w:t>
      </w:r>
    </w:p>
    <w:p w14:paraId="665C78EB" w14:textId="77777777" w:rsidR="00D767D2" w:rsidRPr="00D767D2" w:rsidRDefault="00D767D2" w:rsidP="00D767D2">
      <w:pPr>
        <w:numPr>
          <w:ilvl w:val="0"/>
          <w:numId w:val="14"/>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Card back (1): 1 × $350 = $350</w:t>
      </w:r>
    </w:p>
    <w:p w14:paraId="0497ADB6" w14:textId="77777777" w:rsidR="00D767D2" w:rsidRPr="00D767D2" w:rsidRDefault="00D767D2" w:rsidP="00D767D2">
      <w:pPr>
        <w:numPr>
          <w:ilvl w:val="0"/>
          <w:numId w:val="14"/>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Box art (1): $750</w:t>
      </w:r>
    </w:p>
    <w:p w14:paraId="49EFC687" w14:textId="77777777" w:rsidR="00D767D2" w:rsidRPr="00D767D2" w:rsidRDefault="00D767D2" w:rsidP="00D767D2">
      <w:pPr>
        <w:numPr>
          <w:ilvl w:val="0"/>
          <w:numId w:val="14"/>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Marketing assets pack (1): $500 (itemized below; cap applies)</w:t>
      </w:r>
    </w:p>
    <w:p w14:paraId="0EA017B7" w14:textId="77777777" w:rsidR="00D767D2" w:rsidRPr="00D767D2" w:rsidRDefault="00D767D2" w:rsidP="00D767D2">
      <w:pPr>
        <w:numPr>
          <w:ilvl w:val="0"/>
          <w:numId w:val="14"/>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IG/TikTok stories (min 10): 10 × $50 = $500</w:t>
      </w:r>
    </w:p>
    <w:p w14:paraId="2EBA85D2" w14:textId="77777777" w:rsidR="00D767D2" w:rsidRPr="00D767D2" w:rsidRDefault="00D767D2" w:rsidP="00D767D2">
      <w:pPr>
        <w:numPr>
          <w:ilvl w:val="0"/>
          <w:numId w:val="14"/>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Landing page art + game logo: TBD (est. $450) (only if agreed in writing)</w:t>
      </w:r>
    </w:p>
    <w:p w14:paraId="44ACA7EC" w14:textId="77777777" w:rsidR="00D767D2" w:rsidRPr="00D767D2" w:rsidRDefault="00D767D2" w:rsidP="00557494">
      <w:pPr>
        <w:pStyle w:val="Heading2"/>
        <w:rPr>
          <w:rFonts w:eastAsia="Times New Roman"/>
        </w:rPr>
      </w:pPr>
      <w:r w:rsidRPr="00D767D2">
        <w:rPr>
          <w:rFonts w:eastAsia="Times New Roman"/>
        </w:rPr>
        <w:t>A2. Marketing Pack (Itemized; Cap = $500)</w:t>
      </w:r>
    </w:p>
    <w:p w14:paraId="2EB2F262"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Asset list (to finalize): ____________________________________________</w:t>
      </w:r>
      <w:r w:rsidRPr="00D767D2">
        <w:rPr>
          <w:rFonts w:ascii="Calibri" w:eastAsia="Times New Roman" w:hAnsi="Calibri" w:cs="Calibri"/>
          <w:color w:val="000000"/>
          <w:kern w:val="0"/>
          <w:sz w:val="22"/>
          <w:szCs w:val="22"/>
          <w14:ligatures w14:val="none"/>
        </w:rPr>
        <w:br/>
        <w:t>Sizes/formats: ______________________________________________________</w:t>
      </w:r>
      <w:r w:rsidRPr="00D767D2">
        <w:rPr>
          <w:rFonts w:ascii="Calibri" w:eastAsia="Times New Roman" w:hAnsi="Calibri" w:cs="Calibri"/>
          <w:color w:val="000000"/>
          <w:kern w:val="0"/>
          <w:sz w:val="22"/>
          <w:szCs w:val="22"/>
          <w14:ligatures w14:val="none"/>
        </w:rPr>
        <w:br/>
        <w:t>Variants: ___________________________________________________________</w:t>
      </w:r>
    </w:p>
    <w:p w14:paraId="220977CA" w14:textId="77777777" w:rsidR="00D767D2" w:rsidRPr="00D767D2" w:rsidRDefault="00D767D2" w:rsidP="00557494">
      <w:pPr>
        <w:pStyle w:val="Heading2"/>
        <w:rPr>
          <w:rFonts w:eastAsia="Times New Roman"/>
        </w:rPr>
      </w:pPr>
      <w:r w:rsidRPr="00D767D2">
        <w:rPr>
          <w:rFonts w:eastAsia="Times New Roman"/>
        </w:rPr>
        <w:t>A3. Technical Specs</w:t>
      </w:r>
    </w:p>
    <w:p w14:paraId="60454038"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Print-ready exports + layered sources (PSD/AI/etc.) per Publisher templates, including color profile and bleed/safe-area compliance. Naming conventions and folder structure: ______________________.</w:t>
      </w:r>
    </w:p>
    <w:p w14:paraId="5BBD9B41" w14:textId="77777777" w:rsidR="00D767D2" w:rsidRPr="00D767D2" w:rsidRDefault="00D767D2" w:rsidP="00557494">
      <w:pPr>
        <w:pStyle w:val="Heading2"/>
        <w:rPr>
          <w:rFonts w:eastAsia="Times New Roman"/>
        </w:rPr>
      </w:pPr>
      <w:r w:rsidRPr="00D767D2">
        <w:rPr>
          <w:rFonts w:eastAsia="Times New Roman"/>
        </w:rPr>
        <w:t>A4. Schedule / Milestones</w:t>
      </w:r>
    </w:p>
    <w:p w14:paraId="13F9F092"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Target dates and dependencies (Publisher inputs) to be set in the Definitive Agreement or this Exhibit. Day-for-day extensions for delayed Publisher inputs.</w:t>
      </w:r>
    </w:p>
    <w:p w14:paraId="768ED05A" w14:textId="77777777" w:rsidR="00D767D2" w:rsidRPr="00D767D2" w:rsidRDefault="00D767D2" w:rsidP="00557494">
      <w:pPr>
        <w:pStyle w:val="Heading2"/>
        <w:rPr>
          <w:rFonts w:eastAsia="Times New Roman"/>
        </w:rPr>
      </w:pPr>
      <w:r w:rsidRPr="00D767D2">
        <w:rPr>
          <w:rFonts w:eastAsia="Times New Roman"/>
        </w:rPr>
        <w:t>A5. Commission Payment Milestones</w:t>
      </w:r>
    </w:p>
    <w:p w14:paraId="5FDBF931" w14:textId="77777777" w:rsidR="00D767D2" w:rsidRPr="00D767D2" w:rsidRDefault="00D767D2" w:rsidP="00D767D2">
      <w:pPr>
        <w:numPr>
          <w:ilvl w:val="0"/>
          <w:numId w:val="15"/>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40% ($1,780) on signature/kickoff</w:t>
      </w:r>
    </w:p>
    <w:p w14:paraId="14F3A73E" w14:textId="77777777" w:rsidR="00D767D2" w:rsidRPr="00D767D2" w:rsidRDefault="00D767D2" w:rsidP="00D767D2">
      <w:pPr>
        <w:numPr>
          <w:ilvl w:val="0"/>
          <w:numId w:val="15"/>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30% ($1,335) on delivery of all 6 faction pieces + card back (print-ready)</w:t>
      </w:r>
    </w:p>
    <w:p w14:paraId="6263B237" w14:textId="77777777" w:rsidR="00D767D2" w:rsidRPr="00D767D2" w:rsidRDefault="00D767D2" w:rsidP="00D767D2">
      <w:pPr>
        <w:numPr>
          <w:ilvl w:val="0"/>
          <w:numId w:val="15"/>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30% ($1,335) on delivery of box art + marketing pack + story posting calendar confirmed (final files)</w:t>
      </w:r>
    </w:p>
    <w:p w14:paraId="25B8C6C4"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Landing page art + logo (if added): 50% start / 50% delivery once scope and price are agreed in writing.</w:t>
      </w:r>
    </w:p>
    <w:p w14:paraId="3CAE1E6D" w14:textId="77777777" w:rsidR="00D767D2" w:rsidRPr="00D767D2" w:rsidRDefault="00D767D2" w:rsidP="00557494">
      <w:pPr>
        <w:pStyle w:val="Heading2"/>
        <w:rPr>
          <w:rFonts w:eastAsia="Times New Roman"/>
        </w:rPr>
      </w:pPr>
      <w:r w:rsidRPr="00D767D2">
        <w:rPr>
          <w:rFonts w:eastAsia="Times New Roman"/>
        </w:rPr>
        <w:t>A6. Story Posting Admin (If Included)</w:t>
      </w:r>
    </w:p>
    <w:p w14:paraId="7ED21189"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Schedule lock date: [__ date]</w:t>
      </w:r>
      <w:r w:rsidRPr="00D767D2">
        <w:rPr>
          <w:rFonts w:ascii="Calibri" w:eastAsia="Times New Roman" w:hAnsi="Calibri" w:cs="Calibri"/>
          <w:color w:val="000000"/>
          <w:kern w:val="0"/>
          <w:sz w:val="22"/>
          <w:szCs w:val="22"/>
          <w14:ligatures w14:val="none"/>
        </w:rPr>
        <w:br/>
        <w:t>Deposit: $100 upon schedule confirmation (applied to total)</w:t>
      </w:r>
      <w:r w:rsidRPr="00D767D2">
        <w:rPr>
          <w:rFonts w:ascii="Calibri" w:eastAsia="Times New Roman" w:hAnsi="Calibri" w:cs="Calibri"/>
          <w:color w:val="000000"/>
          <w:kern w:val="0"/>
          <w:sz w:val="22"/>
          <w:szCs w:val="22"/>
          <w14:ligatures w14:val="none"/>
        </w:rPr>
        <w:br/>
      </w:r>
      <w:r w:rsidRPr="00D767D2">
        <w:rPr>
          <w:rFonts w:ascii="Calibri" w:eastAsia="Times New Roman" w:hAnsi="Calibri" w:cs="Calibri"/>
          <w:color w:val="000000"/>
          <w:kern w:val="0"/>
          <w:sz w:val="22"/>
          <w:szCs w:val="22"/>
          <w14:ligatures w14:val="none"/>
        </w:rPr>
        <w:lastRenderedPageBreak/>
        <w:t>Pay-per-story: remaining amounts due within 7 days after each story goes live upon receipt of proof</w:t>
      </w:r>
      <w:r w:rsidRPr="00D767D2">
        <w:rPr>
          <w:rFonts w:ascii="Calibri" w:eastAsia="Times New Roman" w:hAnsi="Calibri" w:cs="Calibri"/>
          <w:color w:val="000000"/>
          <w:kern w:val="0"/>
          <w:sz w:val="22"/>
          <w:szCs w:val="22"/>
          <w14:ligatures w14:val="none"/>
        </w:rPr>
        <w:br/>
        <w:t>Make-good: repost within 7 days or refund for that placement</w:t>
      </w:r>
    </w:p>
    <w:p w14:paraId="5BF7C215" w14:textId="77777777" w:rsidR="00D767D2" w:rsidRPr="00D767D2" w:rsidRDefault="003E135D"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727320D2">
          <v:rect id="_x0000_i1028" alt="" style="width:468pt;height:.05pt;mso-width-percent:0;mso-height-percent:0;mso-width-percent:0;mso-height-percent:0" o:hralign="center" o:hrstd="t" o:hr="t" fillcolor="#a0a0a0" stroked="f"/>
        </w:pict>
      </w:r>
    </w:p>
    <w:p w14:paraId="3091A07E" w14:textId="77777777" w:rsidR="00557494" w:rsidRDefault="00557494">
      <w:pPr>
        <w:rPr>
          <w:rFonts w:ascii="Calibri" w:eastAsia="Times New Roman" w:hAnsi="Calibri" w:cs="Calibri"/>
          <w:b/>
          <w:bCs/>
          <w:color w:val="000000"/>
          <w:kern w:val="36"/>
          <w:sz w:val="22"/>
          <w:szCs w:val="22"/>
          <w14:ligatures w14:val="none"/>
        </w:rPr>
      </w:pPr>
      <w:r>
        <w:rPr>
          <w:rFonts w:ascii="Calibri" w:eastAsia="Times New Roman" w:hAnsi="Calibri" w:cs="Calibri"/>
          <w:b/>
          <w:bCs/>
          <w:color w:val="000000"/>
          <w:kern w:val="36"/>
          <w:sz w:val="22"/>
          <w:szCs w:val="22"/>
          <w14:ligatures w14:val="none"/>
        </w:rPr>
        <w:br w:type="page"/>
      </w:r>
    </w:p>
    <w:p w14:paraId="4ADD8F7F" w14:textId="5F03D1B9" w:rsidR="00D767D2" w:rsidRPr="00D767D2" w:rsidRDefault="00D767D2" w:rsidP="00557494">
      <w:pPr>
        <w:pStyle w:val="Heading1"/>
        <w:rPr>
          <w:rFonts w:eastAsia="Times New Roman"/>
        </w:rPr>
      </w:pPr>
      <w:r w:rsidRPr="00D767D2">
        <w:rPr>
          <w:rFonts w:eastAsia="Times New Roman"/>
        </w:rPr>
        <w:lastRenderedPageBreak/>
        <w:t>EXHIBIT B — Licensed Property Canon List; Licensed Products; Trademark Notes</w:t>
      </w:r>
    </w:p>
    <w:p w14:paraId="30D6DC3F" w14:textId="77777777" w:rsidR="00D767D2" w:rsidRPr="00D767D2" w:rsidRDefault="00D767D2" w:rsidP="00557494">
      <w:pPr>
        <w:pStyle w:val="Heading2"/>
        <w:rPr>
          <w:rFonts w:eastAsia="Times New Roman"/>
        </w:rPr>
      </w:pPr>
      <w:r w:rsidRPr="00D767D2">
        <w:rPr>
          <w:rFonts w:eastAsia="Times New Roman"/>
        </w:rPr>
        <w:t>B1. Canon List / Style Bible Index</w:t>
      </w:r>
    </w:p>
    <w:p w14:paraId="3DCC1FF3"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Included setting elements (factions, character names, key terms, logos/marks if any):</w:t>
      </w:r>
    </w:p>
    <w:p w14:paraId="5AF2768E" w14:textId="77777777" w:rsidR="00D767D2" w:rsidRPr="00D767D2" w:rsidRDefault="003E135D"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473E6F1D">
          <v:rect id="_x0000_i1027" alt="" style="width:468pt;height:.05pt;mso-width-percent:0;mso-height-percent:0;mso-width-percent:0;mso-height-percent:0" o:hralign="center" o:hrstd="t" o:hr="t" fillcolor="#a0a0a0" stroked="f"/>
        </w:pict>
      </w:r>
    </w:p>
    <w:p w14:paraId="22BB1827"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Explicit exclusions (anything not listed is excluded unless added in writing):</w:t>
      </w:r>
    </w:p>
    <w:p w14:paraId="7E9A5F97" w14:textId="77777777" w:rsidR="00D767D2" w:rsidRPr="00D767D2" w:rsidRDefault="003E135D"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53C893E5">
          <v:rect id="_x0000_i1026" alt="" style="width:468pt;height:.05pt;mso-width-percent:0;mso-height-percent:0;mso-width-percent:0;mso-height-percent:0" o:hralign="center" o:hrstd="t" o:hr="t" fillcolor="#a0a0a0" stroked="f"/>
        </w:pict>
      </w:r>
    </w:p>
    <w:p w14:paraId="03521261" w14:textId="77777777" w:rsidR="00D767D2" w:rsidRPr="00D767D2" w:rsidRDefault="00D767D2" w:rsidP="00557494">
      <w:pPr>
        <w:pStyle w:val="Heading2"/>
        <w:rPr>
          <w:rFonts w:eastAsia="Times New Roman"/>
        </w:rPr>
      </w:pPr>
      <w:r w:rsidRPr="00D767D2">
        <w:rPr>
          <w:rFonts w:eastAsia="Times New Roman"/>
        </w:rPr>
        <w:t>B2. Licensed Products</w:t>
      </w:r>
    </w:p>
    <w:p w14:paraId="7E97C3B7" w14:textId="77777777" w:rsidR="00D767D2" w:rsidRPr="00D767D2" w:rsidRDefault="00D767D2" w:rsidP="00D767D2">
      <w:pPr>
        <w:numPr>
          <w:ilvl w:val="0"/>
          <w:numId w:val="16"/>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Base Product</w:t>
      </w:r>
    </w:p>
    <w:p w14:paraId="1F3C3154" w14:textId="77777777" w:rsidR="00D767D2" w:rsidRPr="00D767D2" w:rsidRDefault="00D767D2" w:rsidP="00D767D2">
      <w:pPr>
        <w:numPr>
          <w:ilvl w:val="0"/>
          <w:numId w:val="16"/>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Expansions (included)</w:t>
      </w:r>
    </w:p>
    <w:p w14:paraId="633D38DB" w14:textId="77777777" w:rsidR="00D767D2" w:rsidRPr="00D767D2" w:rsidRDefault="00D767D2" w:rsidP="00D767D2">
      <w:pPr>
        <w:numPr>
          <w:ilvl w:val="0"/>
          <w:numId w:val="16"/>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Other product types (if any): ______________________________________</w:t>
      </w:r>
    </w:p>
    <w:p w14:paraId="3EBB257E" w14:textId="77777777" w:rsidR="00D767D2" w:rsidRPr="00D767D2" w:rsidRDefault="00D767D2" w:rsidP="00557494">
      <w:pPr>
        <w:pStyle w:val="Heading2"/>
        <w:rPr>
          <w:rFonts w:eastAsia="Times New Roman"/>
        </w:rPr>
      </w:pPr>
      <w:r w:rsidRPr="00D767D2">
        <w:rPr>
          <w:rFonts w:eastAsia="Times New Roman"/>
        </w:rPr>
        <w:t>B3. Trademark (Franchise Marks)</w:t>
      </w:r>
    </w:p>
    <w:p w14:paraId="2C9A16E3"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Franchise Marks (e.g., “Hamsters &amp; Monsters” name and any associated logos listed above) are licensed to Publisher exclusively in the Field of Use during the Term, subject to Section 5.2 (Trademark License), including Quality Control and Registration &amp; Filing.</w:t>
      </w:r>
    </w:p>
    <w:p w14:paraId="2E6CBA37" w14:textId="77777777" w:rsidR="00D767D2" w:rsidRPr="00D767D2" w:rsidRDefault="003E135D" w:rsidP="00D767D2">
      <w:pPr>
        <w:spacing w:after="0" w:line="240" w:lineRule="auto"/>
        <w:rPr>
          <w:rFonts w:ascii="Calibri" w:eastAsia="Times New Roman" w:hAnsi="Calibri" w:cs="Calibri"/>
          <w:kern w:val="0"/>
          <w:sz w:val="22"/>
          <w:szCs w:val="22"/>
          <w14:ligatures w14:val="none"/>
        </w:rPr>
      </w:pPr>
      <w:r>
        <w:rPr>
          <w:rFonts w:ascii="Calibri" w:eastAsia="Times New Roman" w:hAnsi="Calibri" w:cs="Calibri"/>
          <w:noProof/>
          <w:kern w:val="0"/>
          <w:sz w:val="22"/>
          <w:szCs w:val="22"/>
        </w:rPr>
        <w:pict w14:anchorId="7CF252AB">
          <v:rect id="_x0000_i1025" alt="" style="width:468pt;height:.05pt;mso-width-percent:0;mso-height-percent:0;mso-width-percent:0;mso-height-percent:0" o:hralign="center" o:hrstd="t" o:hr="t" fillcolor="#a0a0a0" stroked="f"/>
        </w:pict>
      </w:r>
    </w:p>
    <w:p w14:paraId="2AFA8A59" w14:textId="77777777" w:rsidR="00557494" w:rsidRDefault="00557494">
      <w:pPr>
        <w:rPr>
          <w:rFonts w:ascii="Calibri" w:eastAsia="Times New Roman" w:hAnsi="Calibri" w:cs="Calibri"/>
          <w:b/>
          <w:bCs/>
          <w:color w:val="000000"/>
          <w:kern w:val="36"/>
          <w:sz w:val="22"/>
          <w:szCs w:val="22"/>
          <w14:ligatures w14:val="none"/>
        </w:rPr>
      </w:pPr>
      <w:r>
        <w:rPr>
          <w:rFonts w:ascii="Calibri" w:eastAsia="Times New Roman" w:hAnsi="Calibri" w:cs="Calibri"/>
          <w:b/>
          <w:bCs/>
          <w:color w:val="000000"/>
          <w:kern w:val="36"/>
          <w:sz w:val="22"/>
          <w:szCs w:val="22"/>
          <w14:ligatures w14:val="none"/>
        </w:rPr>
        <w:br w:type="page"/>
      </w:r>
    </w:p>
    <w:p w14:paraId="1C3088DB" w14:textId="681C912E" w:rsidR="00D767D2" w:rsidRPr="00D767D2" w:rsidRDefault="00D767D2" w:rsidP="00557494">
      <w:pPr>
        <w:pStyle w:val="Heading1"/>
        <w:rPr>
          <w:rFonts w:eastAsia="Times New Roman"/>
        </w:rPr>
      </w:pPr>
      <w:r w:rsidRPr="00D767D2">
        <w:rPr>
          <w:rFonts w:eastAsia="Times New Roman"/>
        </w:rPr>
        <w:lastRenderedPageBreak/>
        <w:t>EXHIBIT C — Royalty Report Template &amp; Examples</w:t>
      </w:r>
    </w:p>
    <w:p w14:paraId="0CFEE7DE" w14:textId="77777777" w:rsidR="00D767D2" w:rsidRPr="00D767D2" w:rsidRDefault="00D767D2" w:rsidP="00557494">
      <w:pPr>
        <w:pStyle w:val="Heading2"/>
        <w:rPr>
          <w:rFonts w:eastAsia="Times New Roman"/>
        </w:rPr>
      </w:pPr>
      <w:r w:rsidRPr="00D767D2">
        <w:rPr>
          <w:rFonts w:eastAsia="Times New Roman"/>
        </w:rPr>
        <w:t>C1. Quarterly Report Template (Fields)</w:t>
      </w:r>
    </w:p>
    <w:p w14:paraId="2A11ECDE"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Reporting period (quarter/year)</w:t>
      </w:r>
    </w:p>
    <w:p w14:paraId="0CB8C37D"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Channel (Kickstarter, pledge manager, DTC, distributor/retail)</w:t>
      </w:r>
    </w:p>
    <w:p w14:paraId="273046C9"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SKU / product line item</w:t>
      </w:r>
    </w:p>
    <w:p w14:paraId="02186597"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Gross receipts (cash received)</w:t>
      </w:r>
    </w:p>
    <w:p w14:paraId="7CFDF9CA"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Less: platform fees</w:t>
      </w:r>
    </w:p>
    <w:p w14:paraId="3664B378"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Less: payment processing fees</w:t>
      </w:r>
    </w:p>
    <w:p w14:paraId="5045E161"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Less: refunds/chargebacks</w:t>
      </w:r>
    </w:p>
    <w:p w14:paraId="23E41776"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Net Receipts</w:t>
      </w:r>
    </w:p>
    <w:p w14:paraId="0064DFD0"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Royalty rate (5%)</w:t>
      </w:r>
    </w:p>
    <w:p w14:paraId="38EAEF27"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Royalty accrued</w:t>
      </w:r>
    </w:p>
    <w:p w14:paraId="27E574AD"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MG recoupment balance (if applicable)</w:t>
      </w:r>
    </w:p>
    <w:p w14:paraId="28B9D9FB" w14:textId="77777777" w:rsidR="00D767D2" w:rsidRPr="00D767D2" w:rsidRDefault="00D767D2" w:rsidP="00D767D2">
      <w:pPr>
        <w:numPr>
          <w:ilvl w:val="0"/>
          <w:numId w:val="17"/>
        </w:num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Amount payable (subject to $50 threshold)</w:t>
      </w:r>
    </w:p>
    <w:p w14:paraId="7CEC3072" w14:textId="77777777" w:rsidR="00D767D2" w:rsidRPr="00D767D2" w:rsidRDefault="00D767D2" w:rsidP="00557494">
      <w:pPr>
        <w:pStyle w:val="Heading2"/>
        <w:rPr>
          <w:rFonts w:eastAsia="Times New Roman"/>
        </w:rPr>
      </w:pPr>
      <w:r w:rsidRPr="00D767D2">
        <w:rPr>
          <w:rFonts w:eastAsia="Times New Roman"/>
        </w:rPr>
        <w:t>C2. Allocation Rules</w:t>
      </w:r>
    </w:p>
    <w:p w14:paraId="0C0B8372"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Bundles/add-ons allocated by standalone prices (or reasonable good-faith allocation consistent with published pricing).</w:t>
      </w:r>
    </w:p>
    <w:p w14:paraId="30BE73D2" w14:textId="77777777" w:rsidR="00D767D2" w:rsidRPr="00D767D2" w:rsidRDefault="00D767D2" w:rsidP="00557494">
      <w:pPr>
        <w:pStyle w:val="Heading2"/>
        <w:rPr>
          <w:rFonts w:eastAsia="Times New Roman"/>
        </w:rPr>
      </w:pPr>
      <w:r w:rsidRPr="00D767D2">
        <w:rPr>
          <w:rFonts w:eastAsia="Times New Roman"/>
        </w:rPr>
        <w:t>C3. Worked Example (Fill In)</w:t>
      </w:r>
    </w:p>
    <w:p w14:paraId="156E1D1A" w14:textId="77777777" w:rsidR="00D767D2" w:rsidRPr="00D767D2" w:rsidRDefault="00D767D2" w:rsidP="00D767D2">
      <w:pPr>
        <w:spacing w:before="100" w:beforeAutospacing="1" w:after="100" w:afterAutospacing="1" w:line="240" w:lineRule="auto"/>
        <w:rPr>
          <w:rFonts w:ascii="Calibri" w:eastAsia="Times New Roman" w:hAnsi="Calibri" w:cs="Calibri"/>
          <w:color w:val="000000"/>
          <w:kern w:val="0"/>
          <w:sz w:val="22"/>
          <w:szCs w:val="22"/>
          <w14:ligatures w14:val="none"/>
        </w:rPr>
      </w:pPr>
      <w:r w:rsidRPr="00D767D2">
        <w:rPr>
          <w:rFonts w:ascii="Calibri" w:eastAsia="Times New Roman" w:hAnsi="Calibri" w:cs="Calibri"/>
          <w:color w:val="000000"/>
          <w:kern w:val="0"/>
          <w:sz w:val="22"/>
          <w:szCs w:val="22"/>
          <w14:ligatures w14:val="none"/>
        </w:rPr>
        <w:t>Example bundle: ______________________________________________</w:t>
      </w:r>
      <w:r w:rsidRPr="00D767D2">
        <w:rPr>
          <w:rFonts w:ascii="Calibri" w:eastAsia="Times New Roman" w:hAnsi="Calibri" w:cs="Calibri"/>
          <w:color w:val="000000"/>
          <w:kern w:val="0"/>
          <w:sz w:val="22"/>
          <w:szCs w:val="22"/>
          <w14:ligatures w14:val="none"/>
        </w:rPr>
        <w:br/>
        <w:t>Standalone prices: ____________________________________________</w:t>
      </w:r>
      <w:r w:rsidRPr="00D767D2">
        <w:rPr>
          <w:rFonts w:ascii="Calibri" w:eastAsia="Times New Roman" w:hAnsi="Calibri" w:cs="Calibri"/>
          <w:color w:val="000000"/>
          <w:kern w:val="0"/>
          <w:sz w:val="22"/>
          <w:szCs w:val="22"/>
          <w14:ligatures w14:val="none"/>
        </w:rPr>
        <w:br/>
        <w:t>Allocated Net Receipts: _______________________________________</w:t>
      </w:r>
    </w:p>
    <w:p w14:paraId="0D4807F4" w14:textId="77777777" w:rsidR="00FA0C0D" w:rsidRPr="00D767D2" w:rsidRDefault="00FA0C0D" w:rsidP="00D767D2">
      <w:pPr>
        <w:rPr>
          <w:rFonts w:ascii="Calibri" w:hAnsi="Calibri" w:cs="Calibri"/>
          <w:sz w:val="22"/>
          <w:szCs w:val="22"/>
        </w:rPr>
      </w:pPr>
    </w:p>
    <w:sectPr w:rsidR="00FA0C0D" w:rsidRPr="00D76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0D3"/>
    <w:multiLevelType w:val="multilevel"/>
    <w:tmpl w:val="4460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81AFA"/>
    <w:multiLevelType w:val="multilevel"/>
    <w:tmpl w:val="48E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F45E6"/>
    <w:multiLevelType w:val="multilevel"/>
    <w:tmpl w:val="A1B8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C41B9"/>
    <w:multiLevelType w:val="multilevel"/>
    <w:tmpl w:val="312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2519D"/>
    <w:multiLevelType w:val="multilevel"/>
    <w:tmpl w:val="90D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12562"/>
    <w:multiLevelType w:val="multilevel"/>
    <w:tmpl w:val="9D80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B410A"/>
    <w:multiLevelType w:val="multilevel"/>
    <w:tmpl w:val="C96C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57347"/>
    <w:multiLevelType w:val="multilevel"/>
    <w:tmpl w:val="6B6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26FEA"/>
    <w:multiLevelType w:val="multilevel"/>
    <w:tmpl w:val="74D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D394E"/>
    <w:multiLevelType w:val="multilevel"/>
    <w:tmpl w:val="602E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304B99"/>
    <w:multiLevelType w:val="multilevel"/>
    <w:tmpl w:val="D834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50611"/>
    <w:multiLevelType w:val="multilevel"/>
    <w:tmpl w:val="CA8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B5633"/>
    <w:multiLevelType w:val="multilevel"/>
    <w:tmpl w:val="43F0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27F7D"/>
    <w:multiLevelType w:val="multilevel"/>
    <w:tmpl w:val="8B40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C417AC"/>
    <w:multiLevelType w:val="multilevel"/>
    <w:tmpl w:val="AA6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E7E9E"/>
    <w:multiLevelType w:val="multilevel"/>
    <w:tmpl w:val="B00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B64C9"/>
    <w:multiLevelType w:val="multilevel"/>
    <w:tmpl w:val="5D28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265296">
    <w:abstractNumId w:val="7"/>
  </w:num>
  <w:num w:numId="2" w16cid:durableId="1942757063">
    <w:abstractNumId w:val="10"/>
  </w:num>
  <w:num w:numId="3" w16cid:durableId="1317687880">
    <w:abstractNumId w:val="14"/>
  </w:num>
  <w:num w:numId="4" w16cid:durableId="511382261">
    <w:abstractNumId w:val="13"/>
  </w:num>
  <w:num w:numId="5" w16cid:durableId="2014405476">
    <w:abstractNumId w:val="0"/>
  </w:num>
  <w:num w:numId="6" w16cid:durableId="1664384330">
    <w:abstractNumId w:val="6"/>
  </w:num>
  <w:num w:numId="7" w16cid:durableId="1363900784">
    <w:abstractNumId w:val="11"/>
  </w:num>
  <w:num w:numId="8" w16cid:durableId="792555123">
    <w:abstractNumId w:val="16"/>
  </w:num>
  <w:num w:numId="9" w16cid:durableId="1986618165">
    <w:abstractNumId w:val="3"/>
  </w:num>
  <w:num w:numId="10" w16cid:durableId="2100907698">
    <w:abstractNumId w:val="5"/>
  </w:num>
  <w:num w:numId="11" w16cid:durableId="1488479406">
    <w:abstractNumId w:val="8"/>
  </w:num>
  <w:num w:numId="12" w16cid:durableId="735006373">
    <w:abstractNumId w:val="1"/>
  </w:num>
  <w:num w:numId="13" w16cid:durableId="1281258189">
    <w:abstractNumId w:val="9"/>
  </w:num>
  <w:num w:numId="14" w16cid:durableId="1971741174">
    <w:abstractNumId w:val="15"/>
  </w:num>
  <w:num w:numId="15" w16cid:durableId="7368778">
    <w:abstractNumId w:val="12"/>
  </w:num>
  <w:num w:numId="16" w16cid:durableId="714895288">
    <w:abstractNumId w:val="2"/>
  </w:num>
  <w:num w:numId="17" w16cid:durableId="7396690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3C"/>
    <w:rsid w:val="00060E98"/>
    <w:rsid w:val="00080FAD"/>
    <w:rsid w:val="001C2AFB"/>
    <w:rsid w:val="001C35DC"/>
    <w:rsid w:val="003A274E"/>
    <w:rsid w:val="003E135D"/>
    <w:rsid w:val="00557494"/>
    <w:rsid w:val="007131E7"/>
    <w:rsid w:val="008113BB"/>
    <w:rsid w:val="008C0FCB"/>
    <w:rsid w:val="008E528C"/>
    <w:rsid w:val="00B20188"/>
    <w:rsid w:val="00B72956"/>
    <w:rsid w:val="00D0563C"/>
    <w:rsid w:val="00D54837"/>
    <w:rsid w:val="00D767D2"/>
    <w:rsid w:val="00FA0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FCB7B"/>
  <w15:chartTrackingRefBased/>
  <w15:docId w15:val="{80E6FA5E-417B-D84A-84C6-EE1E328A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5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5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5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5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5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05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63C"/>
    <w:rPr>
      <w:rFonts w:eastAsiaTheme="majorEastAsia" w:cstheme="majorBidi"/>
      <w:color w:val="272727" w:themeColor="text1" w:themeTint="D8"/>
    </w:rPr>
  </w:style>
  <w:style w:type="paragraph" w:styleId="Title">
    <w:name w:val="Title"/>
    <w:basedOn w:val="Normal"/>
    <w:next w:val="Normal"/>
    <w:link w:val="TitleChar"/>
    <w:uiPriority w:val="10"/>
    <w:qFormat/>
    <w:rsid w:val="00D05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63C"/>
    <w:pPr>
      <w:spacing w:before="160"/>
      <w:jc w:val="center"/>
    </w:pPr>
    <w:rPr>
      <w:i/>
      <w:iCs/>
      <w:color w:val="404040" w:themeColor="text1" w:themeTint="BF"/>
    </w:rPr>
  </w:style>
  <w:style w:type="character" w:customStyle="1" w:styleId="QuoteChar">
    <w:name w:val="Quote Char"/>
    <w:basedOn w:val="DefaultParagraphFont"/>
    <w:link w:val="Quote"/>
    <w:uiPriority w:val="29"/>
    <w:rsid w:val="00D0563C"/>
    <w:rPr>
      <w:i/>
      <w:iCs/>
      <w:color w:val="404040" w:themeColor="text1" w:themeTint="BF"/>
    </w:rPr>
  </w:style>
  <w:style w:type="paragraph" w:styleId="ListParagraph">
    <w:name w:val="List Paragraph"/>
    <w:basedOn w:val="Normal"/>
    <w:uiPriority w:val="34"/>
    <w:qFormat/>
    <w:rsid w:val="00D0563C"/>
    <w:pPr>
      <w:ind w:left="720"/>
      <w:contextualSpacing/>
    </w:pPr>
  </w:style>
  <w:style w:type="character" w:styleId="IntenseEmphasis">
    <w:name w:val="Intense Emphasis"/>
    <w:basedOn w:val="DefaultParagraphFont"/>
    <w:uiPriority w:val="21"/>
    <w:qFormat/>
    <w:rsid w:val="00D0563C"/>
    <w:rPr>
      <w:i/>
      <w:iCs/>
      <w:color w:val="0F4761" w:themeColor="accent1" w:themeShade="BF"/>
    </w:rPr>
  </w:style>
  <w:style w:type="paragraph" w:styleId="IntenseQuote">
    <w:name w:val="Intense Quote"/>
    <w:basedOn w:val="Normal"/>
    <w:next w:val="Normal"/>
    <w:link w:val="IntenseQuoteChar"/>
    <w:uiPriority w:val="30"/>
    <w:qFormat/>
    <w:rsid w:val="00D05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63C"/>
    <w:rPr>
      <w:i/>
      <w:iCs/>
      <w:color w:val="0F4761" w:themeColor="accent1" w:themeShade="BF"/>
    </w:rPr>
  </w:style>
  <w:style w:type="character" w:styleId="IntenseReference">
    <w:name w:val="Intense Reference"/>
    <w:basedOn w:val="DefaultParagraphFont"/>
    <w:uiPriority w:val="32"/>
    <w:qFormat/>
    <w:rsid w:val="00D0563C"/>
    <w:rPr>
      <w:b/>
      <w:bCs/>
      <w:smallCaps/>
      <w:color w:val="0F4761" w:themeColor="accent1" w:themeShade="BF"/>
      <w:spacing w:val="5"/>
    </w:rPr>
  </w:style>
  <w:style w:type="paragraph" w:styleId="NormalWeb">
    <w:name w:val="Normal (Web)"/>
    <w:basedOn w:val="Normal"/>
    <w:uiPriority w:val="99"/>
    <w:semiHidden/>
    <w:unhideWhenUsed/>
    <w:rsid w:val="00D056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563C"/>
    <w:rPr>
      <w:b/>
      <w:bCs/>
    </w:rPr>
  </w:style>
  <w:style w:type="character" w:styleId="Emphasis">
    <w:name w:val="Emphasis"/>
    <w:basedOn w:val="DefaultParagraphFont"/>
    <w:uiPriority w:val="20"/>
    <w:qFormat/>
    <w:rsid w:val="00D0563C"/>
    <w:rPr>
      <w:i/>
      <w:iCs/>
    </w:rPr>
  </w:style>
  <w:style w:type="character" w:customStyle="1" w:styleId="apple-converted-space">
    <w:name w:val="apple-converted-space"/>
    <w:basedOn w:val="DefaultParagraphFont"/>
    <w:rsid w:val="00D05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2435</Words>
  <Characters>14713</Characters>
  <Application>Microsoft Office Word</Application>
  <DocSecurity>0</DocSecurity>
  <Lines>282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Grgich Consultant</dc:creator>
  <cp:keywords/>
  <dc:description/>
  <cp:lastModifiedBy>Drew Grgich Consultant</cp:lastModifiedBy>
  <cp:revision>2</cp:revision>
  <dcterms:created xsi:type="dcterms:W3CDTF">2026-02-21T17:33:00Z</dcterms:created>
  <dcterms:modified xsi:type="dcterms:W3CDTF">2026-02-21T17:33:00Z</dcterms:modified>
</cp:coreProperties>
</file>