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HM Term Sheet — Change Log</w:t>
      </w:r>
    </w:p>
    <w:p>
      <w:pPr>
        <w:spacing w:after="200"/>
      </w:pPr>
      <w:r>
        <w:rPr>
          <w:b/>
          <w:bCs/>
        </w:rPr>
        <w:t xml:space="preserve">Document: </w:t>
      </w:r>
      <w:r>
        <w:t xml:space="preserve">HM-Term-Sheet-KS1.md</w:t>
      </w:r>
    </w:p>
    <w:p>
      <w:pPr>
        <w:spacing w:after="200"/>
      </w:pPr>
      <w:r>
        <w:rPr>
          <w:b/>
          <w:bCs/>
        </w:rPr>
        <w:t xml:space="preserve">Date: </w:t>
      </w:r>
      <w:r>
        <w:t xml:space="preserve">March 1–2, 2026</w:t>
      </w:r>
    </w:p>
    <w:p>
      <w:pPr>
        <w:spacing w:after="400"/>
      </w:pPr>
      <w:r>
        <w:rPr>
          <w:b/>
          <w:bCs/>
        </w:rPr>
        <w:t xml:space="preserve">Prepared by: </w:t>
      </w:r>
      <w:r>
        <w:t xml:space="preserve">Drew (Design Play Labs, LLC)</w:t>
      </w:r>
    </w:p>
    <w:p>
      <w:pPr>
        <w:pStyle w:val="Heading2"/>
      </w:pPr>
      <w:r>
        <w:t xml:space="preserve">1. Product Name Update</w:t>
      </w:r>
    </w:p>
    <w:p>
      <w:pPr>
        <w:spacing w:after="80"/>
      </w:pPr>
      <w:r>
        <w:rPr>
          <w:b/>
          <w:bCs/>
        </w:rPr>
        <w:t xml:space="preserve">Section: </w:t>
      </w:r>
      <w:r>
        <w:t xml:space="preserve">2 (Definitions — “Product”)</w:t>
      </w:r>
    </w:p>
    <w:p>
      <w:pPr>
        <w:spacing w:after="200"/>
      </w:pPr>
      <w:r>
        <w:t xml:space="preserve">Renamed the game collection from “Hamsters and Monsters: The Chaos Games” to “Hamsters and Monsters: Contests of Chaos.” Updated in the Product definition and throughout.</w:t>
      </w:r>
    </w:p>
    <w:p>
      <w:pPr>
        <w:pStyle w:val="Heading2"/>
      </w:pPr>
      <w:r>
        <w:t xml:space="preserve">2. Royalty Model Restructuring</w:t>
      </w:r>
    </w:p>
    <w:p>
      <w:pPr>
        <w:spacing w:after="80"/>
      </w:pPr>
      <w:r>
        <w:rPr>
          <w:b/>
          <w:bCs/>
        </w:rPr>
        <w:t xml:space="preserve">Sections: </w:t>
      </w:r>
      <w:r>
        <w:t xml:space="preserve">2, 6.1, 6.3, 6.4, 6.5, Exhibit C</w:t>
      </w:r>
    </w:p>
    <w:p>
      <w:pPr>
        <w:spacing w:after="120"/>
      </w:pPr>
      <w:r>
        <w:t xml:space="preserve">Replaced the Net Receipts / KS1 sales-based royalty model with a unit-based royalty tied to manufacturer orders. Key changes:</w:t>
      </w:r>
    </w:p>
    <w:p>
      <w:pPr>
        <w:pStyle w:val="ListParagraph"/>
        <w:numPr>
          <w:ilvl w:val="0"/>
          <w:numId w:val="2"/>
        </w:numPr>
        <w:spacing w:after="80"/>
      </w:pPr>
      <w:r>
        <w:t xml:space="preserve">Renamed Section 6.1 from “KS1 Royalty” to “Unit Royalty” — royalty is now 5% of the KS1 Pledge Price per unit for all units ordered from the manufacturer, regardless of whether sold</w:t>
      </w:r>
    </w:p>
    <w:p>
      <w:pPr>
        <w:pStyle w:val="ListParagraph"/>
        <w:numPr>
          <w:ilvl w:val="0"/>
          <w:numId w:val="2"/>
        </w:numPr>
        <w:spacing w:after="80"/>
      </w:pPr>
      <w:r>
        <w:t xml:space="preserve">Replaced the “Net Receipts” definition in Section 2 with a new “KS1 Pledge Price” definition</w:t>
      </w:r>
    </w:p>
    <w:p>
      <w:pPr>
        <w:pStyle w:val="ListParagraph"/>
        <w:numPr>
          <w:ilvl w:val="0"/>
          <w:numId w:val="2"/>
        </w:numPr>
        <w:spacing w:after="80"/>
      </w:pPr>
      <w:r>
        <w:t xml:space="preserve">Rewrote Section 6.3 as “Unit Royalty Calculation” with the formula: KS1 Pledge Price × units ordered × 5%</w:t>
      </w:r>
    </w:p>
    <w:p>
      <w:pPr>
        <w:pStyle w:val="ListParagraph"/>
        <w:numPr>
          <w:ilvl w:val="0"/>
          <w:numId w:val="2"/>
        </w:numPr>
        <w:spacing w:after="80"/>
      </w:pPr>
      <w:r>
        <w:t xml:space="preserve">Updated Section 6.5 sublicensing consideration to remove Net Receipts reference</w:t>
      </w:r>
    </w:p>
    <w:p>
      <w:pPr>
        <w:pStyle w:val="ListParagraph"/>
        <w:numPr>
          <w:ilvl w:val="0"/>
          <w:numId w:val="2"/>
        </w:numPr>
        <w:spacing w:after="200"/>
      </w:pPr>
      <w:r>
        <w:t xml:space="preserve">Rewrote Exhibit C (Royalty Report Template) for unit-based reporting fields</w:t>
      </w:r>
    </w:p>
    <w:p>
      <w:pPr>
        <w:pStyle w:val="Heading2"/>
      </w:pPr>
      <w:r>
        <w:t xml:space="preserve">3. Royalty Payment Timing</w:t>
      </w:r>
    </w:p>
    <w:p>
      <w:pPr>
        <w:spacing w:after="80"/>
      </w:pPr>
      <w:r>
        <w:rPr>
          <w:b/>
          <w:bCs/>
        </w:rPr>
        <w:t xml:space="preserve">Section: </w:t>
      </w:r>
      <w:r>
        <w:t xml:space="preserve">6.4</w:t>
      </w:r>
    </w:p>
    <w:p>
      <w:pPr>
        <w:spacing w:after="120"/>
      </w:pPr>
      <w:r>
        <w:t xml:space="preserve">Added two-tier payment timing:</w:t>
      </w:r>
    </w:p>
    <w:p>
      <w:pPr>
        <w:pStyle w:val="ListParagraph"/>
        <w:numPr>
          <w:ilvl w:val="0"/>
          <w:numId w:val="2"/>
        </w:numPr>
        <w:spacing w:after="80"/>
      </w:pPr>
      <w:r>
        <w:rPr>
          <w:b/>
          <w:bCs/>
        </w:rPr>
        <w:t xml:space="preserve">KS1 units: </w:t>
      </w:r>
      <w:r>
        <w:t xml:space="preserve">royalty due within 30 days of Publisher’s receipt of KS1 funds from the crowdfunding platform</w:t>
      </w:r>
    </w:p>
    <w:p>
      <w:pPr>
        <w:pStyle w:val="ListParagraph"/>
        <w:numPr>
          <w:ilvl w:val="0"/>
          <w:numId w:val="2"/>
        </w:numPr>
        <w:spacing w:after="200"/>
      </w:pPr>
      <w:r>
        <w:rPr>
          <w:b/>
          <w:bCs/>
        </w:rPr>
        <w:t xml:space="preserve">Additional units: </w:t>
      </w:r>
      <w:r>
        <w:t xml:space="preserve">royalty due upon Publisher’s receipt of units from manufacturer, payable in the next quarterly cycle</w:t>
      </w:r>
    </w:p>
    <w:p>
      <w:pPr>
        <w:pStyle w:val="Heading2"/>
      </w:pPr>
      <w:r>
        <w:t xml:space="preserve">4. Late Payment Interest</w:t>
      </w:r>
    </w:p>
    <w:p>
      <w:pPr>
        <w:spacing w:after="80"/>
      </w:pPr>
      <w:r>
        <w:rPr>
          <w:b/>
          <w:bCs/>
        </w:rPr>
        <w:t xml:space="preserve">Section: </w:t>
      </w:r>
      <w:r>
        <w:t xml:space="preserve">6.4</w:t>
      </w:r>
    </w:p>
    <w:p>
      <w:pPr>
        <w:spacing w:after="200"/>
      </w:pPr>
      <w:r>
        <w:t xml:space="preserve">Added late payment interest provision: overdue amounts accrue interest at 1.5% per month (or the maximum rate permitted by law, if lower) from the due date until paid.</w:t>
      </w:r>
    </w:p>
    <w:p>
      <w:pPr>
        <w:pStyle w:val="Heading2"/>
      </w:pPr>
      <w:r>
        <w:t xml:space="preserve">5. Independent Counsel Stipend Update</w:t>
      </w:r>
    </w:p>
    <w:p>
      <w:pPr>
        <w:spacing w:after="80"/>
      </w:pPr>
      <w:r>
        <w:rPr>
          <w:b/>
          <w:bCs/>
        </w:rPr>
        <w:t xml:space="preserve">Section: </w:t>
      </w:r>
      <w:r>
        <w:t xml:space="preserve">4</w:t>
      </w:r>
    </w:p>
    <w:p>
      <w:pPr>
        <w:spacing w:after="200"/>
      </w:pPr>
      <w:r>
        <w:t xml:space="preserve">Updated to allow early payment at Publisher’s discretion (prior to execution of the Definitive Agreement). Added requirement for Licensor to acknowledge receipt of the stipend in writing within seven days of payment.</w:t>
      </w:r>
    </w:p>
    <w:p>
      <w:pPr>
        <w:pStyle w:val="Heading2"/>
      </w:pPr>
      <w:r>
        <w:t xml:space="preserve">6. KS1 Failure or Cancellation Provision</w:t>
      </w:r>
    </w:p>
    <w:p>
      <w:pPr>
        <w:spacing w:after="80"/>
      </w:pPr>
      <w:r>
        <w:rPr>
          <w:b/>
          <w:bCs/>
        </w:rPr>
        <w:t xml:space="preserve">Section: </w:t>
      </w:r>
      <w:r>
        <w:t xml:space="preserve">7.3 (new)</w:t>
      </w:r>
    </w:p>
    <w:p>
      <w:pPr>
        <w:spacing w:after="200"/>
      </w:pPr>
      <w:r>
        <w:t xml:space="preserve">Added new Section 7.3: if KS1 fails to fund or is cancelled, the license terminates automatically. Commission payments already made for delivered work are non-refundable. No royalties owed. License does not survive for a relaunch unless both parties agree in writing to new terms.</w:t>
      </w:r>
    </w:p>
    <w:p>
      <w:pPr>
        <w:pStyle w:val="Heading2"/>
      </w:pPr>
      <w:r>
        <w:t xml:space="preserve">7. IP Ownership Warranty</w:t>
      </w:r>
    </w:p>
    <w:p>
      <w:pPr>
        <w:spacing w:after="80"/>
      </w:pPr>
      <w:r>
        <w:rPr>
          <w:b/>
          <w:bCs/>
        </w:rPr>
        <w:t xml:space="preserve">Section: </w:t>
      </w:r>
      <w:r>
        <w:t xml:space="preserve">11 (Warranties)</w:t>
      </w:r>
    </w:p>
    <w:p>
      <w:pPr>
        <w:spacing w:after="120"/>
      </w:pPr>
      <w:r>
        <w:t xml:space="preserve">Expanded the Warranties subsection to include three Licensor warranties:</w:t>
      </w:r>
    </w:p>
    <w:p>
      <w:pPr>
        <w:pStyle w:val="ListParagraph"/>
        <w:numPr>
          <w:ilvl w:val="0"/>
          <w:numId w:val="2"/>
        </w:numPr>
        <w:spacing w:after="80"/>
      </w:pPr>
      <w:r>
        <w:t xml:space="preserve">Licensor is the sole owner of the Licensed Property and Franchise Marks with full authority to grant the license</w:t>
      </w:r>
    </w:p>
    <w:p>
      <w:pPr>
        <w:pStyle w:val="ListParagraph"/>
        <w:numPr>
          <w:ilvl w:val="0"/>
          <w:numId w:val="2"/>
        </w:numPr>
        <w:spacing w:after="80"/>
      </w:pPr>
      <w:r>
        <w:t xml:space="preserve">Licensed Property does not infringe third-party IP rights</w:t>
      </w:r>
    </w:p>
    <w:p>
      <w:pPr>
        <w:pStyle w:val="ListParagraph"/>
        <w:numPr>
          <w:ilvl w:val="0"/>
          <w:numId w:val="2"/>
        </w:numPr>
        <w:spacing w:after="200"/>
      </w:pPr>
      <w:r>
        <w:t xml:space="preserve">All commissioned works are original and properly licensed, with no unlicensed third-party assets</w:t>
      </w:r>
    </w:p>
    <w:p>
      <w:pPr>
        <w:pStyle w:val="Heading2"/>
      </w:pPr>
      <w:r>
        <w:t xml:space="preserve">8. Independent Contractor Status</w:t>
      </w:r>
    </w:p>
    <w:p>
      <w:pPr>
        <w:spacing w:after="80"/>
      </w:pPr>
      <w:r>
        <w:rPr>
          <w:b/>
          <w:bCs/>
        </w:rPr>
        <w:t xml:space="preserve">Section: </w:t>
      </w:r>
      <w:r>
        <w:t xml:space="preserve">13 (new)</w:t>
      </w:r>
    </w:p>
    <w:p>
      <w:pPr>
        <w:spacing w:after="200"/>
      </w:pPr>
      <w:r>
        <w:t xml:space="preserve">Added new Section 13 establishing Licensor as an independent contractor, not an employee or agent. Licensor responsible for all taxes and benefits. Publisher will issue Form 1099.</w:t>
      </w:r>
    </w:p>
    <w:p>
      <w:pPr>
        <w:pStyle w:val="Heading2"/>
      </w:pPr>
      <w:r>
        <w:t xml:space="preserve">9. Excess Inventory Provision</w:t>
      </w:r>
    </w:p>
    <w:p>
      <w:pPr>
        <w:spacing w:after="80"/>
      </w:pPr>
      <w:r>
        <w:rPr>
          <w:b/>
          <w:bCs/>
        </w:rPr>
        <w:t xml:space="preserve">Section: </w:t>
      </w:r>
      <w:r>
        <w:t xml:space="preserve">5.5 (Sell-Off — Excess Inventory)</w:t>
      </w:r>
    </w:p>
    <w:p>
      <w:pPr>
        <w:spacing w:after="200"/>
      </w:pPr>
      <w:r>
        <w:t xml:space="preserve">Added buyback-or-destroy provision for remaining inventory after the sell-off period expires. Licensor has 30 days to purchase at Publisher’s per-unit manufacturing cost. If declined, Publisher destroys and provides a written certificate of destruction within 30 days.</w:t>
      </w:r>
    </w:p>
    <w:p>
      <w:pPr>
        <w:pStyle w:val="Heading2"/>
      </w:pPr>
      <w:r>
        <w:t xml:space="preserve">10. Confidentiality</w:t>
      </w:r>
    </w:p>
    <w:p>
      <w:pPr>
        <w:spacing w:after="80"/>
      </w:pPr>
      <w:r>
        <w:rPr>
          <w:b/>
          <w:bCs/>
        </w:rPr>
        <w:t xml:space="preserve">Section: </w:t>
      </w:r>
      <w:r>
        <w:t xml:space="preserve">14 (new)</w:t>
      </w:r>
    </w:p>
    <w:p>
      <w:pPr>
        <w:spacing w:after="200"/>
      </w:pPr>
      <w:r>
        <w:t xml:space="preserve">Added mutual confidentiality provision. Both parties keep deal terms and non-public business/financial/technical information confidential. Standard carve-outs for publicly available information, prior knowledge, independent development, and legally required disclosures. Confidentiality survives for two years after termination or expiration. Specific terms deferred to the Definitive Agreement.</w:t>
      </w:r>
    </w:p>
    <w:p>
      <w:pPr>
        <w:pStyle w:val="Heading2"/>
      </w:pPr>
      <w:r>
        <w:t xml:space="preserve">11. Mutual Termination for Material Breach</w:t>
      </w:r>
    </w:p>
    <w:p>
      <w:pPr>
        <w:spacing w:after="80"/>
      </w:pPr>
      <w:r>
        <w:rPr>
          <w:b/>
          <w:bCs/>
        </w:rPr>
        <w:t xml:space="preserve">Section: </w:t>
      </w:r>
      <w:r>
        <w:t xml:space="preserve">12 (Termination for Material Breach)</w:t>
      </w:r>
    </w:p>
    <w:p>
      <w:pPr>
        <w:spacing w:after="200"/>
      </w:pPr>
      <w:r>
        <w:t xml:space="preserve">Added provision allowing either party to terminate the Definitive Agreement if the other party materially breaches and fails to cure within 30 days after written notice. Termination does not limit other available remedies.</w:t>
      </w:r>
    </w:p>
    <w:p>
      <w:pPr>
        <w:pStyle w:val="Heading2"/>
      </w:pPr>
      <w:r>
        <w:t xml:space="preserve">12. Currency Definition</w:t>
      </w:r>
    </w:p>
    <w:p>
      <w:pPr>
        <w:spacing w:after="80"/>
      </w:pPr>
      <w:r>
        <w:rPr>
          <w:b/>
          <w:bCs/>
        </w:rPr>
        <w:t xml:space="preserve">Section: </w:t>
      </w:r>
      <w:r>
        <w:t xml:space="preserve">2 (Definitions)</w:t>
      </w:r>
    </w:p>
    <w:p>
      <w:pPr>
        <w:spacing w:after="200"/>
      </w:pPr>
      <w:r>
        <w:t xml:space="preserve">Added “Dollars” or “$” definition establishing that all amounts are in United States dollars.</w:t>
      </w:r>
    </w:p>
    <w:p>
      <w:pPr>
        <w:pStyle w:val="Heading2"/>
      </w:pPr>
      <w:r>
        <w:t xml:space="preserve">13. Commission Payment Milestone Correction</w:t>
      </w:r>
    </w:p>
    <w:p>
      <w:pPr>
        <w:spacing w:after="80"/>
      </w:pPr>
      <w:r>
        <w:rPr>
          <w:b/>
          <w:bCs/>
        </w:rPr>
        <w:t xml:space="preserve">Section: </w:t>
      </w:r>
      <w:r>
        <w:t xml:space="preserve">Exhibit A5</w:t>
      </w:r>
    </w:p>
    <w:p>
      <w:pPr>
        <w:spacing w:after="120"/>
      </w:pPr>
      <w:r>
        <w:t xml:space="preserve">Corrected milestone dollar amounts to match the $3,700 deliverable base (excluding game logo and IG/TikTok stories, which have their own payment structures):</w:t>
      </w:r>
    </w:p>
    <w:p>
      <w:pPr>
        <w:pStyle w:val="ListParagraph"/>
        <w:numPr>
          <w:ilvl w:val="0"/>
          <w:numId w:val="2"/>
        </w:numPr>
        <w:spacing w:after="80"/>
      </w:pPr>
      <w:r>
        <w:t xml:space="preserve">40% changed from $1,780 to $1,480</w:t>
      </w:r>
    </w:p>
    <w:p>
      <w:pPr>
        <w:pStyle w:val="ListParagraph"/>
        <w:numPr>
          <w:ilvl w:val="0"/>
          <w:numId w:val="2"/>
        </w:numPr>
        <w:spacing w:after="80"/>
      </w:pPr>
      <w:r>
        <w:t xml:space="preserve">30% changed from $1,335 to $1,110 (both milestones)</w:t>
      </w:r>
    </w:p>
    <w:p>
      <w:pPr>
        <w:pStyle w:val="ListParagraph"/>
        <w:numPr>
          <w:ilvl w:val="0"/>
          <w:numId w:val="2"/>
        </w:numPr>
        <w:spacing w:after="200"/>
      </w:pPr>
      <w:r>
        <w:t xml:space="preserve">Removed “story posting calendar confirmed” trigger from the third milestone (stories are paid through A6)</w:t>
      </w:r>
    </w:p>
    <w:p>
      <w:pPr>
        <w:pStyle w:val="Heading2"/>
      </w:pPr>
      <w:r>
        <w:t xml:space="preserve">14. Terminology and Drafting Cleanup</w:t>
      </w:r>
    </w:p>
    <w:p>
      <w:pPr>
        <w:spacing w:after="80"/>
      </w:pPr>
      <w:r>
        <w:rPr>
          <w:b/>
          <w:bCs/>
        </w:rPr>
        <w:t xml:space="preserve">Sections: </w:t>
      </w:r>
      <w:r>
        <w:t xml:space="preserve">5.4, 5.6, 5.6.1, 15, Exhibit D</w:t>
      </w:r>
    </w:p>
    <w:p>
      <w:pPr>
        <w:spacing w:after="120"/>
      </w:pPr>
      <w:r>
        <w:t xml:space="preserve">Two consistency fixes:</w:t>
      </w:r>
    </w:p>
    <w:p>
      <w:pPr>
        <w:pStyle w:val="ListParagraph"/>
        <w:numPr>
          <w:ilvl w:val="0"/>
          <w:numId w:val="2"/>
        </w:numPr>
        <w:spacing w:after="80"/>
      </w:pPr>
      <w:r>
        <w:t xml:space="preserve">Replaced all instances of “Licensed Products” (undefined) with “the Product” (defined in Section 2) for consistency</w:t>
      </w:r>
    </w:p>
    <w:p>
      <w:pPr>
        <w:pStyle w:val="ListParagraph"/>
        <w:numPr>
          <w:ilvl w:val="0"/>
          <w:numId w:val="2"/>
        </w:numPr>
        <w:spacing w:after="200"/>
      </w:pPr>
      <w:r>
        <w:t xml:space="preserve">Replaced “this Agreement” with “the Definitive Agreement” in Sections 5.4 and 15, since the term sheet itself is non-binding</w:t>
      </w:r>
    </w:p>
    <w:p>
      <w:pPr>
        <w:pStyle w:val="Heading2"/>
      </w:pPr>
      <w:r>
        <w:t xml:space="preserve">15. Section Renumbering</w:t>
      </w:r>
    </w:p>
    <w:p>
      <w:pPr>
        <w:spacing w:after="200"/>
      </w:pPr>
      <w:r>
        <w:t xml:space="preserve">As a result of the new sections added above, the following sections were renumbered: Notices moved from Section 14 to Section 15. Non-Binding/Governing Law moved from Section 15 to Section 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2026-03-02T04:22:22.292Z</dcterms:created>
  <dcterms:modified xsi:type="dcterms:W3CDTF">2026-03-02T04:22:22.292Z</dcterms:modified>
</cp:coreProperties>
</file>

<file path=docProps/custom.xml><?xml version="1.0" encoding="utf-8"?>
<Properties xmlns="http://schemas.openxmlformats.org/officeDocument/2006/custom-properties" xmlns:vt="http://schemas.openxmlformats.org/officeDocument/2006/docPropsVTypes"/>
</file>