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Hamsters &amp; Monsters --- Danny Beck Deal Term Sheet</w:t>
      </w:r>
    </w:p>
    <w:p>
      <w:pPr>
        <w:pStyle w:val="BodyText"/>
      </w:pPr>
      <w:r>
        <w:rPr>
          <w:b/>
          <w:bCs/>
        </w:rPr>
        <w:t xml:space="preserve">KS1 Commission + Exclusive License</w:t>
      </w:r>
    </w:p>
    <w:p>
      <w:pPr>
        <w:pStyle w:val="BodyText"/>
      </w:pPr>
      <w:r>
        <w:rPr>
          <w:i/>
          <w:iCs/>
        </w:rPr>
        <w:t xml:space="preserve">Negotiation Draft --- Non-Binding except as expressly stated</w:t>
      </w:r>
    </w:p>
    <w:p>
      <w:pPr>
        <w:pStyle w:val="BodyText"/>
      </w:pPr>
      <w:r>
        <w:rPr>
          <w:b/>
          <w:bCs/>
        </w:rPr>
        <w:t xml:space="preserve">0. Parties</w:t>
      </w:r>
    </w:p>
    <w:p>
      <w:pPr>
        <w:pStyle w:val="BodyText"/>
      </w:pPr>
      <w:r>
        <w:rPr>
          <w:b/>
          <w:bCs/>
        </w:rPr>
        <w:t xml:space="preserve">Publisher / Licensee:</w:t>
      </w:r>
      <w:r>
        <w:t xml:space="preserve"> </w:t>
      </w:r>
      <w:r>
        <w:t xml:space="preserve">Design Play Labs, LLC ("Publisher")</w:t>
      </w:r>
    </w:p>
    <w:p>
      <w:pPr>
        <w:pStyle w:val="BodyText"/>
      </w:pPr>
      <w:r>
        <w:rPr>
          <w:b/>
          <w:bCs/>
        </w:rPr>
        <w:t xml:space="preserve">Artist / IP Owner / Licensor:</w:t>
      </w:r>
      <w:r>
        <w:t xml:space="preserve"> </w:t>
      </w:r>
      <w:r>
        <w:t xml:space="preserve">Danny Beck ("Licensor")</w:t>
      </w:r>
    </w:p>
    <w:p>
      <w:pPr>
        <w:pStyle w:val="BodyText"/>
      </w:pPr>
      <w:r>
        <w:rPr>
          <w:b/>
          <w:bCs/>
        </w:rPr>
        <w:t xml:space="preserve">1. Purpose</w:t>
      </w:r>
    </w:p>
    <w:p>
      <w:pPr>
        <w:pStyle w:val="BodyText"/>
      </w:pPr>
      <w:r>
        <w:t xml:space="preserve">This term sheet summarizes the business terms for a definitive</w:t>
      </w:r>
      <w:r>
        <w:br/>
      </w:r>
      <w:r>
        <w:rPr>
          <w:b/>
          <w:bCs/>
        </w:rPr>
        <w:t xml:space="preserve">Commission Agreement + Exclusive License Agreement</w:t>
      </w:r>
      <w:r>
        <w:t xml:space="preserve"> </w:t>
      </w:r>
      <w:r>
        <w:t xml:space="preserve">covering</w:t>
      </w:r>
      <w:r>
        <w:br/>
      </w:r>
      <w:r>
        <w:t xml:space="preserve">(i) commissioned creative services and (ii) an exclusive, field-limited</w:t>
      </w:r>
      <w:r>
        <w:br/>
      </w:r>
      <w:r>
        <w:t xml:space="preserve">license to the</w:t>
      </w:r>
      <w:r>
        <w:t xml:space="preserve"> </w:t>
      </w:r>
      <w:r>
        <w:rPr>
          <w:b/>
          <w:bCs/>
        </w:rPr>
        <w:t xml:space="preserve">Hamsters &amp; Monsters</w:t>
      </w:r>
      <w:r>
        <w:t xml:space="preserve"> </w:t>
      </w:r>
      <w:r>
        <w:t xml:space="preserve">universe IP for use in a tabletop</w:t>
      </w:r>
      <w:r>
        <w:br/>
      </w:r>
      <w:r>
        <w:t xml:space="preserve">card game (the "Definitive Agreement"). This term sheet covers</w:t>
      </w:r>
      <w:r>
        <w:t xml:space="preserve"> </w:t>
      </w:r>
      <w:r>
        <w:rPr>
          <w:b/>
          <w:bCs/>
        </w:rPr>
        <w:t xml:space="preserve">KS1</w:t>
      </w:r>
      <w:r>
        <w:br/>
      </w:r>
      <w:r>
        <w:rPr>
          <w:b/>
          <w:bCs/>
        </w:rPr>
        <w:t xml:space="preserve">only</w:t>
      </w:r>
      <w:r>
        <w:t xml:space="preserve">; future products are addressed solely through a right of first</w:t>
      </w:r>
      <w:r>
        <w:br/>
      </w:r>
      <w:r>
        <w:t xml:space="preserve">negotiation (Section 8).</w:t>
      </w:r>
    </w:p>
    <w:p>
      <w:pPr>
        <w:pStyle w:val="BodyText"/>
      </w:pPr>
      <w:r>
        <w:rPr>
          <w:b/>
          <w:bCs/>
        </w:rPr>
        <w:t xml:space="preserve">2. Definitions</w:t>
      </w:r>
    </w:p>
    <w:p>
      <w:pPr>
        <w:pStyle w:val="BodyText"/>
      </w:pPr>
      <w:r>
        <w:rPr>
          <w:b/>
          <w:bCs/>
        </w:rPr>
        <w:t xml:space="preserve">"Licensed Property"</w:t>
      </w:r>
      <w:r>
        <w:t xml:space="preserve"> </w:t>
      </w:r>
      <w:r>
        <w:t xml:space="preserve">means Licensor's pre-existing Hamsters &amp;</w:t>
      </w:r>
      <w:r>
        <w:br/>
      </w:r>
      <w:r>
        <w:t xml:space="preserve">Monsters universe IP, including the Hamsters &amp; Monsters characters, settings, factions, and visual elements as publicly established by Licensor prior to the Effective Date, to be further defined in the IP Style Guide (Exhibit D) developed pursuant to Section 5.6, plus any additional items expressly agreed in writing.</w:t>
      </w:r>
    </w:p>
    <w:p>
      <w:pPr>
        <w:pStyle w:val="BodyText"/>
      </w:pPr>
      <w:r>
        <w:rPr>
          <w:b/>
          <w:bCs/>
        </w:rPr>
        <w:t xml:space="preserve">"Product"</w:t>
      </w:r>
      <w:r>
        <w:t xml:space="preserve"> </w:t>
      </w:r>
      <w:r>
        <w:t xml:space="preserve">means Hamsters &amp; Monsters: Contests of Chaos (base game).</w:t>
      </w:r>
    </w:p>
    <w:p>
      <w:pPr>
        <w:pStyle w:val="BodyText"/>
      </w:pPr>
      <w:r>
        <w:rPr>
          <w:b/>
          <w:bCs/>
        </w:rPr>
        <w:t xml:space="preserve">"Field of Use"</w:t>
      </w:r>
      <w:r>
        <w:t xml:space="preserve"> </w:t>
      </w:r>
      <w:r>
        <w:t xml:space="preserve">means tabletop card game products only (including cards, card-game packaging, and card-game rules/rulebooks) and related marketing for the Product. For the avoidance of doubt, this exclusivity is limited solely to tabletop card games; all other tabletop game formats (board games, miniatures games, role-playing games, etc.) and all other fields (apparel/merch, toys, apps/video games, film/TV, publishing, or other derivatives) are excluded from this license unless separately agreed in writing.</w:t>
      </w:r>
    </w:p>
    <w:p>
      <w:pPr>
        <w:pStyle w:val="BodyText"/>
      </w:pPr>
      <w:r>
        <w:rPr>
          <w:b/>
          <w:bCs/>
        </w:rPr>
        <w:t xml:space="preserve">"KS1"</w:t>
      </w:r>
      <w:r>
        <w:t xml:space="preserve"> </w:t>
      </w:r>
      <w:r>
        <w:t xml:space="preserve">means the first crowdfunding campaign for the Product,</w:t>
      </w:r>
      <w:r>
        <w:br/>
      </w:r>
      <w:r>
        <w:t xml:space="preserve">including pledge manager and late pledges attributable to KS1.</w:t>
      </w:r>
    </w:p>
    <w:p>
      <w:pPr>
        <w:pStyle w:val="BodyText"/>
      </w:pPr>
      <w:r>
        <w:rPr>
          <w:b/>
          <w:bCs/>
        </w:rPr>
        <w:t xml:space="preserve">"KS1 Pledge Price"</w:t>
      </w:r>
      <w:r>
        <w:t xml:space="preserve"> </w:t>
      </w:r>
      <w:r>
        <w:t xml:space="preserve">means the published Kickstarter pledge price for</w:t>
      </w:r>
      <w:r>
        <w:br/>
      </w:r>
      <w:r>
        <w:t xml:space="preserve">each SKU of the Product (e.g., base game, deluxe edition) as</w:t>
      </w:r>
      <w:r>
        <w:br/>
      </w:r>
      <w:r>
        <w:t xml:space="preserve">established during the KS1 campaign.</w:t>
      </w:r>
    </w:p>
    <w:p>
      <w:pPr>
        <w:pStyle w:val="BodyText"/>
      </w:pPr>
      <w:r>
        <w:rPr>
          <w:b/>
          <w:bCs/>
        </w:rPr>
        <w:t xml:space="preserve">"Franchise Marks"</w:t>
      </w:r>
      <w:r>
        <w:t xml:space="preserve"> </w:t>
      </w:r>
      <w:r>
        <w:t xml:space="preserve">means the trademarks, logos, and trade dress</w:t>
      </w:r>
      <w:r>
        <w:br/>
      </w:r>
      <w:r>
        <w:t xml:space="preserve">associated with "Hamsters &amp; Monsters" as owned by Licensor.</w:t>
      </w:r>
    </w:p>
    <w:p>
      <w:pPr>
        <w:pStyle w:val="BodyText"/>
      </w:pPr>
      <w:r>
        <w:rPr>
          <w:b/>
          <w:bCs/>
        </w:rPr>
        <w:t xml:space="preserve">"Product Marks"</w:t>
      </w:r>
      <w:r>
        <w:t xml:space="preserve"> </w:t>
      </w:r>
      <w:r>
        <w:t xml:space="preserve">means trademarks, logos, and trade dress created by</w:t>
      </w:r>
      <w:r>
        <w:br/>
      </w:r>
      <w:r>
        <w:t xml:space="preserve">Publisher to identify the Product (e.g., the game title and logo),</w:t>
      </w:r>
      <w:r>
        <w:br/>
      </w:r>
      <w:r>
        <w:t xml:space="preserve">excluding Franchise Marks.</w:t>
      </w:r>
    </w:p>
    <w:p>
      <w:pPr>
        <w:pStyle w:val="BodyText"/>
      </w:pPr>
      <w:r>
        <w:rPr>
          <w:b/>
          <w:bCs/>
        </w:rPr>
        <w:t xml:space="preserve">"Captured Gross Funding"</w:t>
      </w:r>
      <w:r>
        <w:t xml:space="preserve"> </w:t>
      </w:r>
      <w:r>
        <w:t xml:space="preserve">means the gross amount of funds actually</w:t>
      </w:r>
      <w:r>
        <w:br/>
      </w:r>
      <w:r>
        <w:t xml:space="preserve">received by Publisher from Kickstarter and any pledge</w:t>
      </w:r>
      <w:r>
        <w:br/>
      </w:r>
      <w:r>
        <w:t xml:space="preserve">manager/late-pledge platform for KS1, less refunds and chargebacks</w:t>
      </w:r>
      <w:r>
        <w:br/>
      </w:r>
      <w:r>
        <w:t xml:space="preserve">(before deducting platform and processing fees).</w:t>
      </w:r>
    </w:p>
    <w:p>
      <w:pPr>
        <w:pStyle w:val="BodyText"/>
      </w:pPr>
      <w:r>
        <w:rPr>
          <w:b/>
          <w:bCs/>
        </w:rPr>
        <w:t xml:space="preserve">"Term"</w:t>
      </w:r>
      <w:r>
        <w:t xml:space="preserve"> </w:t>
      </w:r>
      <w:r>
        <w:t xml:space="preserve">means the term of the license as described in Section 7.</w:t>
      </w:r>
    </w:p>
    <w:p>
      <w:pPr>
        <w:pStyle w:val="BodyText"/>
      </w:pPr>
      <w:r>
        <w:rPr>
          <w:b/>
          <w:bCs/>
        </w:rPr>
        <w:t xml:space="preserve">"Effective Date"</w:t>
      </w:r>
      <w:r>
        <w:t xml:space="preserve"> </w:t>
      </w:r>
      <w:r>
        <w:t xml:space="preserve">means the date the Definitive Agreement is executed</w:t>
      </w:r>
      <w:r>
        <w:br/>
      </w:r>
      <w:r>
        <w:t xml:space="preserve">by both parties.</w:t>
      </w:r>
    </w:p>
    <w:p>
      <w:pPr>
        <w:pStyle w:val="BodyText"/>
      </w:pPr>
      <w:r>
        <w:rPr>
          <w:b/>
          <w:bCs/>
        </w:rPr>
        <w:t xml:space="preserve">"Dollars" or "$"</w:t>
      </w:r>
      <w:r>
        <w:t xml:space="preserve"> </w:t>
      </w:r>
      <w:r>
        <w:t xml:space="preserve">refers to United States dollars. All amounts in</w:t>
      </w:r>
      <w:r>
        <w:br/>
      </w:r>
      <w:r>
        <w:t xml:space="preserve">this term sheet and the Definitive Agreement are in U.S. dollars.</w:t>
      </w:r>
    </w:p>
    <w:p>
      <w:pPr>
        <w:pStyle w:val="BodyText"/>
      </w:pPr>
      <w:r>
        <w:rPr>
          <w:b/>
          <w:bCs/>
        </w:rPr>
        <w:t xml:space="preserve">3. Commissioned Works</w:t>
      </w:r>
    </w:p>
    <w:p>
      <w:pPr>
        <w:pStyle w:val="BodyText"/>
      </w:pPr>
      <w:r>
        <w:t xml:space="preserve">Licensor will create the deliverables listed in Exhibit A for the fixed</w:t>
      </w:r>
      <w:r>
        <w:br/>
      </w:r>
      <w:r>
        <w:t xml:space="preserve">fees stated there, plus any approved hourly work under Section 3.4.</w:t>
      </w:r>
    </w:p>
    <w:p>
      <w:pPr>
        <w:pStyle w:val="BodyText"/>
      </w:pPr>
      <w:r>
        <w:rPr>
          <w:b/>
          <w:bCs/>
        </w:rPr>
        <w:t xml:space="preserve">3.1 Revisions</w:t>
      </w:r>
    </w:p>
    <w:p>
      <w:pPr>
        <w:pStyle w:val="BodyText"/>
      </w:pPr>
      <w:r>
        <w:rPr>
          <w:b/>
          <w:bCs/>
        </w:rPr>
        <w:t xml:space="preserve">Two (2) rounds per deliverable</w:t>
      </w:r>
      <w:r>
        <w:t xml:space="preserve"> </w:t>
      </w:r>
      <w:r>
        <w:t xml:space="preserve">(batch feedback preferred). A</w:t>
      </w:r>
      <w:r>
        <w:br/>
      </w:r>
      <w:r>
        <w:t xml:space="preserve">"revision" means changes to the same approved direction---not</w:t>
      </w:r>
      <w:r>
        <w:br/>
      </w:r>
      <w:r>
        <w:t xml:space="preserve">re-concepting. Material change in direction is new scope billed hourly</w:t>
      </w:r>
      <w:r>
        <w:br/>
      </w:r>
      <w:r>
        <w:t xml:space="preserve">or separately scoped.</w:t>
      </w:r>
    </w:p>
    <w:p>
      <w:pPr>
        <w:pStyle w:val="BodyText"/>
      </w:pPr>
      <w:r>
        <w:rPr>
          <w:b/>
          <w:bCs/>
        </w:rPr>
        <w:t xml:space="preserve">3.2 Delivery / Acceptance</w:t>
      </w:r>
    </w:p>
    <w:p>
      <w:pPr>
        <w:pStyle w:val="BodyText"/>
      </w:pPr>
      <w:r>
        <w:t xml:space="preserve">Delivery to shared folder per Exhibit A specs. Publisher has seven (7)</w:t>
      </w:r>
      <w:r>
        <w:br/>
      </w:r>
      <w:r>
        <w:t xml:space="preserve">business days to accept or provide one consolidated revision list; no</w:t>
      </w:r>
      <w:r>
        <w:br/>
      </w:r>
      <w:r>
        <w:t xml:space="preserve">response within 7 business days is deemed accepted.</w:t>
      </w:r>
    </w:p>
    <w:p>
      <w:pPr>
        <w:pStyle w:val="BodyText"/>
      </w:pPr>
      <w:r>
        <w:rPr>
          <w:b/>
          <w:bCs/>
        </w:rPr>
        <w:t xml:space="preserve">3.3 Payment</w:t>
      </w:r>
    </w:p>
    <w:p>
      <w:pPr>
        <w:pStyle w:val="BodyText"/>
      </w:pPr>
      <w:r>
        <w:t xml:space="preserve">Commission payment milestones are set forth in Exhibit A.</w:t>
      </w:r>
    </w:p>
    <w:p>
      <w:pPr>
        <w:pStyle w:val="BodyText"/>
      </w:pPr>
      <w:r>
        <w:rPr>
          <w:b/>
          <w:bCs/>
        </w:rPr>
        <w:t xml:space="preserve">3.4 Hourly Add-Ons</w:t>
      </w:r>
    </w:p>
    <w:p>
      <w:pPr>
        <w:pStyle w:val="BodyText"/>
      </w:pPr>
      <w:r>
        <w:rPr>
          <w:b/>
          <w:bCs/>
        </w:rPr>
        <w:t xml:space="preserve">$50/hour</w:t>
      </w:r>
      <w:r>
        <w:t xml:space="preserve"> </w:t>
      </w:r>
      <w:r>
        <w:t xml:space="preserve">with prior written approval. Cap:</w:t>
      </w:r>
      <w:r>
        <w:t xml:space="preserve"> </w:t>
      </w:r>
      <w:r>
        <w:rPr>
          <w:b/>
          <w:bCs/>
        </w:rPr>
        <w:t xml:space="preserve">15 hours/month</w:t>
      </w:r>
      <w:r>
        <w:br/>
      </w:r>
      <w:r>
        <w:t xml:space="preserve">without separate written approval.</w:t>
      </w:r>
    </w:p>
    <w:p>
      <w:pPr>
        <w:pStyle w:val="BodyText"/>
      </w:pPr>
      <w:r>
        <w:rPr>
          <w:b/>
          <w:bCs/>
        </w:rPr>
        <w:t xml:space="preserve">3.5 Delivery Delays</w:t>
      </w:r>
    </w:p>
    <w:p>
      <w:pPr>
        <w:pStyle w:val="BodyText"/>
      </w:pPr>
      <w:r>
        <w:t xml:space="preserve">If either party's actions or omissions cause delivery of any deliverable under Exhibit A to be delayed beyond the agreed schedule, all downstream project dates (including but not limited to the KS1 launch deadline in Section 7.2 and the schedule lock dates in Section 9 and Exhibit A6) shall be extended day-for-day by the period of delay. If the delay causes the project to miss the target KS1 launch window (September -- October 2026), the KS1 launch deadline shall automatically extend to the next available Kickstarter launch window (March -- April 2027), and all related dates shall adjust accordingly.</w:t>
      </w:r>
    </w:p>
    <w:p>
      <w:pPr>
        <w:pStyle w:val="BodyText"/>
      </w:pPr>
      <w:r>
        <w:t xml:space="preserve">If Publisher delays (including late feedback, late approvals, or failure to provide required inputs) cause the project to miss two consecutive Kickstarter launch windows, Licensor may terminate the Definitive Agreement upon</w:t>
      </w:r>
      <w:r>
        <w:t xml:space="preserve"> </w:t>
      </w:r>
      <w:r>
        <w:rPr>
          <w:b/>
          <w:bCs/>
        </w:rPr>
        <w:t xml:space="preserve">thirty (30) days'</w:t>
      </w:r>
      <w:r>
        <w:t xml:space="preserve"> </w:t>
      </w:r>
      <w:r>
        <w:t xml:space="preserve">written notice, and the Pre-Launch Termination provision in Section 12 shall apply.</w:t>
      </w:r>
    </w:p>
    <w:p>
      <w:pPr>
        <w:pStyle w:val="BodyText"/>
      </w:pPr>
      <w:r>
        <w:rPr>
          <w:b/>
          <w:bCs/>
        </w:rPr>
        <w:t xml:space="preserve">4. Independent Counsel Stipend</w:t>
      </w:r>
    </w:p>
    <w:p>
      <w:pPr>
        <w:pStyle w:val="BodyText"/>
      </w:pPr>
      <w:r>
        <w:t xml:space="preserve">Publisher will pay Licensor</w:t>
      </w:r>
      <w:r>
        <w:t xml:space="preserve"> </w:t>
      </w:r>
      <w:r>
        <w:rPr>
          <w:b/>
          <w:bCs/>
        </w:rPr>
        <w:t xml:space="preserve">$750</w:t>
      </w:r>
      <w:r>
        <w:t xml:space="preserve"> </w:t>
      </w:r>
      <w:r>
        <w:t xml:space="preserve">upon execution of the Definitive</w:t>
      </w:r>
      <w:r>
        <w:br/>
      </w:r>
      <w:r>
        <w:t xml:space="preserve">Agreement, or earlier at Publisher's discretion, as reimbursement for</w:t>
      </w:r>
      <w:r>
        <w:br/>
      </w:r>
      <w:r>
        <w:t xml:space="preserve">Licensor's costs of independent legal review prior to signing.</w:t>
      </w:r>
      <w:r>
        <w:br/>
      </w:r>
      <w:r>
        <w:t xml:space="preserve">Non-refundable, non-recoupable, and does not offset any other</w:t>
      </w:r>
      <w:r>
        <w:br/>
      </w:r>
      <w:r>
        <w:t xml:space="preserve">compensation. Licensor will acknowledge receipt of the stipend in</w:t>
      </w:r>
      <w:r>
        <w:br/>
      </w:r>
      <w:r>
        <w:t xml:space="preserve">writing within seven (7) days of payment.</w:t>
      </w:r>
    </w:p>
    <w:p>
      <w:pPr>
        <w:pStyle w:val="BodyText"/>
      </w:pPr>
      <w:r>
        <w:rPr>
          <w:b/>
          <w:bCs/>
        </w:rPr>
        <w:t xml:space="preserve">5. License Grant</w:t>
      </w:r>
    </w:p>
    <w:p>
      <w:pPr>
        <w:pStyle w:val="BodyText"/>
      </w:pPr>
      <w:r>
        <w:rPr>
          <w:b/>
          <w:bCs/>
        </w:rPr>
        <w:t xml:space="preserve">5.1 Grant</w:t>
      </w:r>
    </w:p>
    <w:p>
      <w:pPr>
        <w:pStyle w:val="BodyText"/>
      </w:pPr>
      <w:r>
        <w:t xml:space="preserve">Licensor grants Publisher an exclusive, worldwide license to use the</w:t>
      </w:r>
      <w:r>
        <w:br/>
      </w:r>
      <w:r>
        <w:t xml:space="preserve">Licensed Property (and Franchise Marks per Section 5.2) solely to</w:t>
      </w:r>
      <w:r>
        <w:br/>
      </w:r>
      <w:r>
        <w:t xml:space="preserve">develop, manufacture, market, sell, and distribute the Product in the</w:t>
      </w:r>
      <w:r>
        <w:br/>
      </w:r>
      <w:r>
        <w:t xml:space="preserve">Field of Use during the Term.</w:t>
      </w:r>
    </w:p>
    <w:p>
      <w:pPr>
        <w:pStyle w:val="BodyText"/>
      </w:pPr>
      <w:r>
        <w:rPr>
          <w:b/>
          <w:bCs/>
        </w:rPr>
        <w:t xml:space="preserve">5.1.1 Exclusivity Covenant</w:t>
      </w:r>
    </w:p>
    <w:p>
      <w:pPr>
        <w:pStyle w:val="BodyText"/>
      </w:pPr>
      <w:r>
        <w:t xml:space="preserve">During the Term, Licensor shall not license, authorize, or permit any third party to use the Licensed Property for the development, manufacture, marketing, sale, or distribution of tabletop card game products. For the avoidance of doubt, Licensor retains all rights to license the Licensed Property in any field other than tabletop card games.</w:t>
      </w:r>
    </w:p>
    <w:p>
      <w:pPr>
        <w:pStyle w:val="BodyText"/>
      </w:pPr>
      <w:r>
        <w:rPr>
          <w:b/>
          <w:bCs/>
        </w:rPr>
        <w:t xml:space="preserve">5.2 Trademark License (Franchise Marks)</w:t>
      </w:r>
    </w:p>
    <w:p>
      <w:pPr>
        <w:pStyle w:val="BodyText"/>
      </w:pPr>
      <w:r>
        <w:t xml:space="preserve">Licensor grants Publisher an exclusive, worldwide license during the</w:t>
      </w:r>
      <w:r>
        <w:br/>
      </w:r>
      <w:r>
        <w:t xml:space="preserve">Term to use the Franchise Marks solely in connection with the Product in</w:t>
      </w:r>
      <w:r>
        <w:br/>
      </w:r>
      <w:r>
        <w:t xml:space="preserve">the Field of Use. No rights are granted for any other field</w:t>
      </w:r>
      <w:r>
        <w:br/>
      </w:r>
      <w:r>
        <w:t xml:space="preserve">(apparel/merch, toys, apps/video games, film/TV, publishing, or other</w:t>
      </w:r>
      <w:r>
        <w:br/>
      </w:r>
      <w:r>
        <w:t xml:space="preserve">derivatives) unless agreed in writing.</w:t>
      </w:r>
    </w:p>
    <w:p>
      <w:pPr>
        <w:pStyle w:val="BodyText"/>
      </w:pPr>
      <w:r>
        <w:rPr>
          <w:b/>
          <w:bCs/>
        </w:rPr>
        <w:t xml:space="preserve">5.2.1 Quality Control</w:t>
      </w:r>
    </w:p>
    <w:p>
      <w:pPr>
        <w:pStyle w:val="BodyText"/>
      </w:pPr>
      <w:r>
        <w:t xml:space="preserve">Publisher will use the Franchise Marks consistent with reasonable</w:t>
      </w:r>
      <w:r>
        <w:br/>
      </w:r>
      <w:r>
        <w:t xml:space="preserve">brand-integrity standards. Licensor may review and approve Publisher's</w:t>
      </w:r>
      <w:r>
        <w:br/>
      </w:r>
      <w:r>
        <w:t xml:space="preserve">first public use of the Franchise Marks on (i) the Product box front,</w:t>
      </w:r>
      <w:r>
        <w:br/>
      </w:r>
      <w:r>
        <w:t xml:space="preserve">(ii) the rulebook cover, and (iii) the Kickstarter campaign page header</w:t>
      </w:r>
      <w:r>
        <w:br/>
      </w:r>
      <w:r>
        <w:t xml:space="preserve">(approval not to be unreasonably withheld). Licensor will respond within</w:t>
      </w:r>
      <w:r>
        <w:br/>
      </w:r>
      <w:r>
        <w:t xml:space="preserve">ten (10) business days; no response is deemed approved. Subsequent uses</w:t>
      </w:r>
      <w:r>
        <w:br/>
      </w:r>
      <w:r>
        <w:t xml:space="preserve">materially consistent with approved uses are deemed approved.</w:t>
      </w:r>
    </w:p>
    <w:p>
      <w:pPr>
        <w:pStyle w:val="BodyText"/>
      </w:pPr>
      <w:r>
        <w:rPr>
          <w:b/>
          <w:bCs/>
        </w:rPr>
        <w:t xml:space="preserve">5.2.2 Registration &amp; Filing</w:t>
      </w:r>
    </w:p>
    <w:p>
      <w:pPr>
        <w:pStyle w:val="BodyText"/>
      </w:pPr>
      <w:r>
        <w:t xml:space="preserve">Licensor has the sole right to register and maintain Franchise Marks (at</w:t>
      </w:r>
      <w:r>
        <w:br/>
      </w:r>
      <w:r>
        <w:t xml:space="preserve">Licensor's expense). Publisher has the sole right to register and</w:t>
      </w:r>
      <w:r>
        <w:br/>
      </w:r>
      <w:r>
        <w:t xml:space="preserve">maintain Product Marks (at Publisher's expense). Each party will</w:t>
      </w:r>
      <w:r>
        <w:br/>
      </w:r>
      <w:r>
        <w:t xml:space="preserve">reasonably cooperate at the requesting party's expense.</w:t>
      </w:r>
    </w:p>
    <w:p>
      <w:pPr>
        <w:pStyle w:val="BodyText"/>
      </w:pPr>
      <w:r>
        <w:rPr>
          <w:b/>
          <w:bCs/>
        </w:rPr>
        <w:t xml:space="preserve">5.3 Permitted Production Modifications</w:t>
      </w:r>
    </w:p>
    <w:p>
      <w:pPr>
        <w:pStyle w:val="BodyText"/>
      </w:pPr>
      <w:r>
        <w:t xml:space="preserve">Publisher may crop/resize, adjust color for print consistency, and add</w:t>
      </w:r>
      <w:r>
        <w:br/>
      </w:r>
      <w:r>
        <w:t xml:space="preserve">typography/layout for production, consistent with brand integrity.</w:t>
      </w:r>
    </w:p>
    <w:p>
      <w:pPr>
        <w:pStyle w:val="BodyText"/>
      </w:pPr>
      <w:r>
        <w:rPr>
          <w:b/>
          <w:bCs/>
        </w:rPr>
        <w:t xml:space="preserve">5.4 Sublicensing / Assignment</w:t>
      </w:r>
    </w:p>
    <w:p>
      <w:pPr>
        <w:pStyle w:val="BodyText"/>
      </w:pPr>
      <w:r>
        <w:t xml:space="preserve">Publisher may sublicense as needed for manufacturing, distribution,</w:t>
      </w:r>
      <w:r>
        <w:br/>
      </w:r>
      <w:r>
        <w:t xml:space="preserve">fulfillment, localization, and service providers. Publisher may assign</w:t>
      </w:r>
      <w:r>
        <w:br/>
      </w:r>
      <w:r>
        <w:t xml:space="preserve">the Definitive Agreement in connection with a merger, acquisition, or</w:t>
      </w:r>
      <w:r>
        <w:br/>
      </w:r>
      <w:r>
        <w:t xml:space="preserve">sale of substantially all assets relating to the Product, with Licensor's prior written consent (not to be unreasonably withheld), provided the</w:t>
      </w:r>
      <w:r>
        <w:br/>
      </w:r>
      <w:r>
        <w:t xml:space="preserve">successor assumes all obligations in writing. Publisher remains responsible for</w:t>
      </w:r>
      <w:r>
        <w:br/>
      </w:r>
      <w:r>
        <w:t xml:space="preserve">obligations accrued prior to assignment.</w:t>
      </w:r>
    </w:p>
    <w:p>
      <w:pPr>
        <w:pStyle w:val="BodyText"/>
      </w:pPr>
      <w:r>
        <w:t xml:space="preserve">Licensor shall not assign or transfer the Licensed Property during the Term without ensuring that any successor or transferee is bound by the terms of the Definitive Agreement, and shall provide Publisher with written notice at least</w:t>
      </w:r>
      <w:r>
        <w:t xml:space="preserve"> </w:t>
      </w:r>
      <w:r>
        <w:rPr>
          <w:b/>
          <w:bCs/>
        </w:rPr>
        <w:t xml:space="preserve">thirty (30) days</w:t>
      </w:r>
      <w:r>
        <w:t xml:space="preserve"> </w:t>
      </w:r>
      <w:r>
        <w:t xml:space="preserve">prior to any such assignment or transfer.</w:t>
      </w:r>
    </w:p>
    <w:p>
      <w:pPr>
        <w:pStyle w:val="BodyText"/>
      </w:pPr>
      <w:r>
        <w:rPr>
          <w:b/>
          <w:bCs/>
        </w:rPr>
        <w:t xml:space="preserve">5.5 Sell-Off</w:t>
      </w:r>
    </w:p>
    <w:p>
      <w:pPr>
        <w:pStyle w:val="BodyText"/>
      </w:pPr>
      <w:r>
        <w:t xml:space="preserve">Upon expiration or termination (except for-cause where immediate</w:t>
      </w:r>
      <w:r>
        <w:br/>
      </w:r>
      <w:r>
        <w:t xml:space="preserve">cessation may apply), Publisher retains a</w:t>
      </w:r>
      <w:r>
        <w:t xml:space="preserve"> </w:t>
      </w:r>
      <w:r>
        <w:rPr>
          <w:b/>
          <w:bCs/>
        </w:rPr>
        <w:t xml:space="preserve">twelve (12) month</w:t>
      </w:r>
      <w:r>
        <w:t xml:space="preserve"> </w:t>
      </w:r>
      <w:r>
        <w:t xml:space="preserve">sell-off</w:t>
      </w:r>
      <w:r>
        <w:br/>
      </w:r>
      <w:r>
        <w:t xml:space="preserve">right for existing inventory and committed production runs, subject to</w:t>
      </w:r>
      <w:r>
        <w:br/>
      </w:r>
      <w:r>
        <w:t xml:space="preserve">continuing reporting and royalty obligations.</w:t>
      </w:r>
    </w:p>
    <w:p>
      <w:pPr>
        <w:pStyle w:val="BodyText"/>
      </w:pPr>
      <w:r>
        <w:rPr>
          <w:b/>
          <w:bCs/>
        </w:rPr>
        <w:t xml:space="preserve">Excess Inventory.</w:t>
      </w:r>
      <w:r>
        <w:t xml:space="preserve"> </w:t>
      </w:r>
      <w:r>
        <w:t xml:space="preserve">Upon expiration of the sell-off period, Licensor</w:t>
      </w:r>
      <w:r>
        <w:br/>
      </w:r>
      <w:r>
        <w:t xml:space="preserve">shall have the option to purchase any remaining inventory at Publisher's</w:t>
      </w:r>
      <w:r>
        <w:br/>
      </w:r>
      <w:r>
        <w:t xml:space="preserve">per-unit manufacturing cost. Licensor must exercise this option in</w:t>
      </w:r>
      <w:r>
        <w:br/>
      </w:r>
      <w:r>
        <w:t xml:space="preserve">writing within</w:t>
      </w:r>
      <w:r>
        <w:t xml:space="preserve"> </w:t>
      </w:r>
      <w:r>
        <w:rPr>
          <w:b/>
          <w:bCs/>
        </w:rPr>
        <w:t xml:space="preserve">thirty (30) days</w:t>
      </w:r>
      <w:r>
        <w:t xml:space="preserve"> </w:t>
      </w:r>
      <w:r>
        <w:t xml:space="preserve">of the sell-off period's expiration.</w:t>
      </w:r>
      <w:r>
        <w:br/>
      </w:r>
      <w:r>
        <w:t xml:space="preserve">If Licensor declines or does not respond, Publisher shall destroy the</w:t>
      </w:r>
      <w:r>
        <w:br/>
      </w:r>
      <w:r>
        <w:t xml:space="preserve">remaining inventory and provide Licensor with a written certificate of</w:t>
      </w:r>
      <w:r>
        <w:br/>
      </w:r>
      <w:r>
        <w:t xml:space="preserve">destruction within</w:t>
      </w:r>
      <w:r>
        <w:t xml:space="preserve"> </w:t>
      </w:r>
      <w:r>
        <w:rPr>
          <w:b/>
          <w:bCs/>
        </w:rPr>
        <w:t xml:space="preserve">thirty (30) days</w:t>
      </w:r>
      <w:r>
        <w:t xml:space="preserve"> </w:t>
      </w:r>
      <w:r>
        <w:t xml:space="preserve">thereafter.</w:t>
      </w:r>
    </w:p>
    <w:p>
      <w:pPr>
        <w:pStyle w:val="BodyText"/>
      </w:pPr>
      <w:r>
        <w:rPr>
          <w:b/>
          <w:bCs/>
        </w:rPr>
        <w:t xml:space="preserve">5.6 Narrative Content Control and IP Style Guide</w:t>
      </w:r>
    </w:p>
    <w:p>
      <w:pPr>
        <w:pStyle w:val="BodyText"/>
      </w:pPr>
      <w:r>
        <w:t xml:space="preserve">Publisher will ensure that all narrative content in the Product (including but not limited to card flavor text, rulebook lore, character descriptions, and marketing copy referencing Licensed Property characters or settings) is consistent with an IP Style Guide to be developed collaboratively by the parties pursuant to Section 5.6.1.</w:t>
      </w:r>
    </w:p>
    <w:p>
      <w:pPr>
        <w:pStyle w:val="BodyText"/>
      </w:pPr>
      <w:r>
        <w:t xml:space="preserve">Licensor will have approval rights over material narrative additions to the Licensed Property (new named characters, new canonical lore, new faction descriptions) not contemplated by the IP Style Guide, such approval not to be unreasonably withheld and to be provided within</w:t>
      </w:r>
      <w:r>
        <w:t xml:space="preserve"> </w:t>
      </w:r>
      <w:r>
        <w:rPr>
          <w:b/>
          <w:bCs/>
        </w:rPr>
        <w:t xml:space="preserve">seven (7) business days</w:t>
      </w:r>
      <w:r>
        <w:t xml:space="preserve">.</w:t>
      </w:r>
    </w:p>
    <w:p>
      <w:pPr>
        <w:pStyle w:val="BodyText"/>
      </w:pPr>
      <w:r>
        <w:t xml:space="preserve">Licensor will have consultation rights over individual card flavor text and marketing copy; Publisher will provide Licensor with draft materials at least</w:t>
      </w:r>
      <w:r>
        <w:t xml:space="preserve"> </w:t>
      </w:r>
      <w:r>
        <w:rPr>
          <w:b/>
          <w:bCs/>
        </w:rPr>
        <w:t xml:space="preserve">fourteen (14) days</w:t>
      </w:r>
      <w:r>
        <w:t xml:space="preserve"> </w:t>
      </w:r>
      <w:r>
        <w:t xml:space="preserve">before production deadlines and will give good-faith consideration to Licensor's feedback.</w:t>
      </w:r>
    </w:p>
    <w:p>
      <w:pPr>
        <w:pStyle w:val="BodyText"/>
      </w:pPr>
      <w:r>
        <w:rPr>
          <w:b/>
          <w:bCs/>
        </w:rPr>
        <w:t xml:space="preserve">5.6.1 IP Style Guide Development</w:t>
      </w:r>
    </w:p>
    <w:p>
      <w:pPr>
        <w:pStyle w:val="BodyText"/>
      </w:pPr>
      <w:r>
        <w:t xml:space="preserve">Within</w:t>
      </w:r>
      <w:r>
        <w:t xml:space="preserve"> </w:t>
      </w:r>
      <w:r>
        <w:rPr>
          <w:b/>
          <w:bCs/>
        </w:rPr>
        <w:t xml:space="preserve">forty-five (45) days</w:t>
      </w:r>
      <w:r>
        <w:t xml:space="preserve"> </w:t>
      </w:r>
      <w:r>
        <w:t xml:space="preserve">of the Effective Date, the parties will collaborate in good faith to develop an IP Style Guide (Exhibit D) establishing narrative tone, vocabulary guidelines, character voice standards, and canonical boundaries for the Product. If the IP Style Guide is not finalized within forty-five (45) days, either party may extend the development period by written agreement; the Tier 1 approval process described in Section 5.6.2 will continue to apply until the IP Style Guide is finalized. If the IP Style Guide is not finalized within</w:t>
      </w:r>
      <w:r>
        <w:t xml:space="preserve"> </w:t>
      </w:r>
      <w:r>
        <w:rPr>
          <w:b/>
          <w:bCs/>
        </w:rPr>
        <w:t xml:space="preserve">ninety (90) days</w:t>
      </w:r>
      <w:r>
        <w:t xml:space="preserve"> </w:t>
      </w:r>
      <w:r>
        <w:t xml:space="preserve">of the Effective Date, either party may request mediation by a mutually agreed third party to resolve outstanding issues; costs to be shared equally. Until the IP Style Guide is finalized, Publisher will submit all narrative content to Licensor for approval under the Tier 1 process described in Section 5.6.2.</w:t>
      </w:r>
    </w:p>
    <w:p>
      <w:pPr>
        <w:pStyle w:val="BodyText"/>
      </w:pPr>
      <w:r>
        <w:rPr>
          <w:b/>
          <w:bCs/>
        </w:rPr>
        <w:t xml:space="preserve">5.6.2 Tiered Approval Structure</w:t>
      </w:r>
    </w:p>
    <w:p>
      <w:pPr>
        <w:pStyle w:val="BodyText"/>
      </w:pPr>
      <w:r>
        <w:rPr>
          <w:b/>
          <w:bCs/>
        </w:rPr>
        <w:t xml:space="preserve">Tier 1 --- Full Approval Required</w:t>
      </w:r>
      <w:r>
        <w:t xml:space="preserve"> </w:t>
      </w:r>
      <w:r>
        <w:t xml:space="preserve">(Licensor may request changes): Major narrative elements that define or extend the Hamsters &amp; Monsters universe, including new named characters, new factions, new locations, origin stories, and any lore that would become canonical in the Licensed Property. Licensor's approval shall not be unreasonably withheld and shall be provided within</w:t>
      </w:r>
      <w:r>
        <w:t xml:space="preserve"> </w:t>
      </w:r>
      <w:r>
        <w:rPr>
          <w:b/>
          <w:bCs/>
        </w:rPr>
        <w:t xml:space="preserve">seven (7) business days</w:t>
      </w:r>
      <w:r>
        <w:t xml:space="preserve"> </w:t>
      </w:r>
      <w:r>
        <w:t xml:space="preserve">of submission.</w:t>
      </w:r>
    </w:p>
    <w:p>
      <w:pPr>
        <w:pStyle w:val="BodyText"/>
      </w:pPr>
      <w:r>
        <w:rPr>
          <w:b/>
          <w:bCs/>
        </w:rPr>
        <w:t xml:space="preserve">Tier 2 --- Consultation Right</w:t>
      </w:r>
      <w:r>
        <w:t xml:space="preserve"> </w:t>
      </w:r>
      <w:r>
        <w:t xml:space="preserve">(Licensor reviews and provides input; Publisher makes final call consistent with approved Style Guide): Individual card flavor text, rulebook narrative framing, marketing copy, and social media content. Publisher will provide Licensor with draft materials at least</w:t>
      </w:r>
      <w:r>
        <w:t xml:space="preserve"> </w:t>
      </w:r>
      <w:r>
        <w:rPr>
          <w:b/>
          <w:bCs/>
        </w:rPr>
        <w:t xml:space="preserve">fourteen (14) days</w:t>
      </w:r>
      <w:r>
        <w:t xml:space="preserve"> </w:t>
      </w:r>
      <w:r>
        <w:t xml:space="preserve">before production deadlines. Licensor may flag concerns, and Publisher will give good-faith consideration to Licensor's feedback, but Publisher retains final decision-making authority provided the content is consistent with the approved IP Style Guide.</w:t>
      </w:r>
    </w:p>
    <w:p>
      <w:pPr>
        <w:pStyle w:val="BodyText"/>
      </w:pPr>
      <w:r>
        <w:rPr>
          <w:b/>
          <w:bCs/>
        </w:rPr>
        <w:t xml:space="preserve">Tier 3 --- No Approval Needed</w:t>
      </w:r>
      <w:r>
        <w:t xml:space="preserve"> </w:t>
      </w:r>
      <w:r>
        <w:t xml:space="preserve">(Publisher discretion within established guidelines): Mechanical terminology, rules language, instructional content, and game component labeling. These are functional rather than narrative elements and do not require Licensor review.</w:t>
      </w:r>
    </w:p>
    <w:p>
      <w:pPr>
        <w:pStyle w:val="BodyText"/>
      </w:pPr>
      <w:r>
        <w:rPr>
          <w:b/>
          <w:bCs/>
        </w:rPr>
        <w:t xml:space="preserve">5.7 Marketing Assets --- Review Rights and Usage Period</w:t>
      </w:r>
    </w:p>
    <w:p>
      <w:pPr>
        <w:pStyle w:val="BodyText"/>
      </w:pPr>
      <w:r>
        <w:t xml:space="preserve">Licensor will provide Publisher with pre-existing marketing art (the "Marketing Assets") for use in connection with the marketing, promotion, and sale of the Product in the Field of Use. The Marketing Assets are and shall remain the sole property of Licensor. Publisher receives a non-exclusive, royalty-free license to use the Marketing Assets solely in connection with the Product.</w:t>
      </w:r>
    </w:p>
    <w:p>
      <w:pPr>
        <w:pStyle w:val="BodyText"/>
      </w:pPr>
      <w:r>
        <w:rPr>
          <w:b/>
          <w:bCs/>
        </w:rPr>
        <w:t xml:space="preserve">Usage Period:</w:t>
      </w:r>
      <w:r>
        <w:t xml:space="preserve"> </w:t>
      </w:r>
      <w:r>
        <w:t xml:space="preserve">The license to use the Marketing Assets begins on the date the Marketing Assets are delivered (which shall be within</w:t>
      </w:r>
      <w:r>
        <w:t xml:space="preserve"> </w:t>
      </w:r>
      <w:r>
        <w:rPr>
          <w:b/>
          <w:bCs/>
        </w:rPr>
        <w:t xml:space="preserve">seven (7) days</w:t>
      </w:r>
      <w:r>
        <w:t xml:space="preserve"> </w:t>
      </w:r>
      <w:r>
        <w:t xml:space="preserve">of execution of the Definitive Agreement) and terminates upon delivery of all commissioned artwork under Exhibit A. Upon expiration of the usage period, Publisher will cease use of the Marketing Assets and transition to commissioned artwork for all marketing purposes.</w:t>
      </w:r>
    </w:p>
    <w:p>
      <w:pPr>
        <w:pStyle w:val="BodyText"/>
      </w:pPr>
      <w:r>
        <w:rPr>
          <w:b/>
          <w:bCs/>
        </w:rPr>
        <w:t xml:space="preserve">Review Rights:</w:t>
      </w:r>
      <w:r>
        <w:t xml:space="preserve"> </w:t>
      </w:r>
      <w:r>
        <w:t xml:space="preserve">Licensor will have the right to review and approve Publisher's use of Marketing Assets prior to first public use in each marketing channel (e.g., Kickstarter page, social media, paid advertising). Approval shall not be unreasonably withheld and shall be provided within</w:t>
      </w:r>
      <w:r>
        <w:t xml:space="preserve"> </w:t>
      </w:r>
      <w:r>
        <w:rPr>
          <w:b/>
          <w:bCs/>
        </w:rPr>
        <w:t xml:space="preserve">seven (7) business days</w:t>
      </w:r>
      <w:r>
        <w:t xml:space="preserve"> </w:t>
      </w:r>
      <w:r>
        <w:t xml:space="preserve">of submission. Subsequent uses materially consistent with approved uses are deemed approved.</w:t>
      </w:r>
    </w:p>
    <w:p>
      <w:pPr>
        <w:pStyle w:val="BodyText"/>
      </w:pPr>
      <w:r>
        <w:rPr>
          <w:b/>
          <w:bCs/>
        </w:rPr>
        <w:t xml:space="preserve">6. License Economics (KS1)</w:t>
      </w:r>
    </w:p>
    <w:p>
      <w:pPr>
        <w:pStyle w:val="BodyText"/>
      </w:pPr>
      <w:r>
        <w:rPr>
          <w:b/>
          <w:bCs/>
        </w:rPr>
        <w:t xml:space="preserve">6.1 Unit Royalty</w:t>
      </w:r>
    </w:p>
    <w:p>
      <w:pPr>
        <w:pStyle w:val="BodyText"/>
      </w:pPr>
      <w:r>
        <w:t xml:space="preserve">Publisher will pay Licensor a royalty equal to</w:t>
      </w:r>
      <w:r>
        <w:t xml:space="preserve"> </w:t>
      </w:r>
      <w:r>
        <w:rPr>
          <w:b/>
          <w:bCs/>
        </w:rPr>
        <w:t xml:space="preserve">5%</w:t>
      </w:r>
      <w:r>
        <w:t xml:space="preserve"> </w:t>
      </w:r>
      <w:r>
        <w:t xml:space="preserve">of the applicable</w:t>
      </w:r>
      <w:r>
        <w:br/>
      </w:r>
      <w:r>
        <w:t xml:space="preserve">KS1 pledge price per unit for all units in each production order placed</w:t>
      </w:r>
      <w:r>
        <w:br/>
      </w:r>
      <w:r>
        <w:t xml:space="preserve">with the manufacturer and any subsequent reorders. The applicable KS1</w:t>
      </w:r>
      <w:r>
        <w:br/>
      </w:r>
      <w:r>
        <w:t xml:space="preserve">pledge price is determined by SKU (e.g., base game, deluxe edition) as</w:t>
      </w:r>
      <w:r>
        <w:br/>
      </w:r>
      <w:r>
        <w:t xml:space="preserve">established during KS1. This royalty applies to all units ordered from</w:t>
      </w:r>
      <w:r>
        <w:br/>
      </w:r>
      <w:r>
        <w:t xml:space="preserve">the manufacturer, regardless of whether those units have been sold and</w:t>
      </w:r>
      <w:r>
        <w:br/>
      </w:r>
      <w:r>
        <w:t xml:space="preserve">regardless of the sales channel through which they are ultimately sold.</w:t>
      </w:r>
      <w:r>
        <w:br/>
      </w:r>
      <w:r>
        <w:t xml:space="preserve">No minimum guarantee applies to KS1.</w:t>
      </w:r>
    </w:p>
    <w:p>
      <w:pPr>
        <w:pStyle w:val="BodyText"/>
      </w:pPr>
      <w:r>
        <w:rPr>
          <w:b/>
          <w:bCs/>
        </w:rPr>
        <w:t xml:space="preserve">6.2 KS1 Profit-Share Kicker (Highest Tier Only)</w:t>
      </w:r>
    </w:p>
    <w:p>
      <w:pPr>
        <w:pStyle w:val="BodyText"/>
      </w:pPr>
      <w:r>
        <w:t xml:space="preserve">Based on Captured Gross Funding for KS1:</w:t>
      </w:r>
    </w:p>
    <w:p>
      <w:r>
        <w:pict>
          <v:rect style="width:0;height:1.5pt" o:hralign="center" o:hrstd="t" o:hr="t"/>
        </w:pict>
      </w:r>
    </w:p>
    <w:p>
      <w:pPr>
        <w:pStyle w:val="FirstParagraph"/>
      </w:pPr>
      <w:r>
        <w:t xml:space="preserve"> </w:t>
      </w:r>
      <w:r>
        <w:rPr>
          <w:b/>
          <w:bCs/>
        </w:rPr>
        <w:t xml:space="preserve">Captured Gross Funding</w:t>
      </w:r>
      <w:r>
        <w:t xml:space="preserve"> </w:t>
      </w:r>
      <w:r>
        <w:rPr>
          <w:b/>
          <w:bCs/>
        </w:rPr>
        <w:t xml:space="preserve">Kicker</w:t>
      </w:r>
      <w:r>
        <w:br/>
      </w:r>
      <w:r>
        <w:t xml:space="preserve"> </w:t>
      </w:r>
      <w:r>
        <w:t xml:space="preserve">$50,000 -- $74,999 $1,000</w:t>
      </w:r>
      <w:r>
        <w:br/>
      </w:r>
      <w:r>
        <w:t xml:space="preserve"> </w:t>
      </w:r>
      <w:r>
        <w:t xml:space="preserve">$75,000 -- $149,999 $3,000</w:t>
      </w:r>
      <w:r>
        <w:br/>
      </w:r>
      <w:r>
        <w:t xml:space="preserve"> </w:t>
      </w:r>
      <w:r>
        <w:t xml:space="preserve">$150,000+ $6,000</w:t>
      </w:r>
    </w:p>
    <w:p>
      <w:r>
        <w:pict>
          <v:rect style="width:0;height:1.5pt" o:hralign="center" o:hrstd="t" o:hr="t"/>
        </w:pict>
      </w:r>
    </w:p>
    <w:p>
      <w:pPr>
        <w:pStyle w:val="FirstParagraph"/>
      </w:pPr>
      <w:r>
        <w:t xml:space="preserve">Payable within 90 days after KS1 ends, provided Captured Gross Funding</w:t>
      </w:r>
      <w:r>
        <w:br/>
      </w:r>
      <w:r>
        <w:t xml:space="preserve">has been received and the applicable threshold is met. Highest tier only</w:t>
      </w:r>
      <w:r>
        <w:br/>
      </w:r>
      <w:r>
        <w:t xml:space="preserve">(no stacking). This kicker is in addition to royalties.</w:t>
      </w:r>
    </w:p>
    <w:p>
      <w:pPr>
        <w:pStyle w:val="BodyText"/>
      </w:pPr>
      <w:r>
        <w:rPr>
          <w:b/>
          <w:bCs/>
        </w:rPr>
        <w:t xml:space="preserve">6.3 Unit Royalty Calculation</w:t>
      </w:r>
    </w:p>
    <w:p>
      <w:pPr>
        <w:pStyle w:val="BodyText"/>
      </w:pPr>
      <w:r>
        <w:t xml:space="preserve">The royalty for each production order is calculated as follows: KS1</w:t>
      </w:r>
      <w:r>
        <w:br/>
      </w:r>
      <w:r>
        <w:t xml:space="preserve">Pledge Price for the applicable SKU × total number of units ordered ×</w:t>
      </w:r>
      <w:r>
        <w:br/>
      </w:r>
      <w:r>
        <w:t xml:space="preserve">5%. For production orders containing multiple SKUs, the royalty is</w:t>
      </w:r>
      <w:r>
        <w:br/>
      </w:r>
      <w:r>
        <w:t xml:space="preserve">calculated separately for each SKU based on its respective KS1 Pledge</w:t>
      </w:r>
      <w:r>
        <w:br/>
      </w:r>
      <w:r>
        <w:t xml:space="preserve">Price and unit count. The royalty is owed on all units in each</w:t>
      </w:r>
      <w:r>
        <w:br/>
      </w:r>
      <w:r>
        <w:t xml:space="preserve">production order placed with the manufacturer, including minimum order</w:t>
      </w:r>
      <w:r>
        <w:br/>
      </w:r>
      <w:r>
        <w:t xml:space="preserve">quantity adjustments and any subsequent reorders.</w:t>
      </w:r>
    </w:p>
    <w:p>
      <w:pPr>
        <w:pStyle w:val="BodyText"/>
      </w:pPr>
      <w:r>
        <w:rPr>
          <w:b/>
          <w:bCs/>
        </w:rPr>
        <w:t xml:space="preserve">6.4 Reporting, Payment, Audit</w:t>
      </w:r>
    </w:p>
    <w:p>
      <w:pPr>
        <w:pStyle w:val="BodyText"/>
      </w:pPr>
      <w:r>
        <w:rPr>
          <w:b/>
          <w:bCs/>
        </w:rPr>
        <w:t xml:space="preserve">Reporting:</w:t>
      </w:r>
      <w:r>
        <w:t xml:space="preserve"> </w:t>
      </w:r>
      <w:r>
        <w:t xml:space="preserve">quarterly, due 45 days after quarter end.</w:t>
      </w:r>
    </w:p>
    <w:p>
      <w:pPr>
        <w:pStyle w:val="BodyText"/>
      </w:pPr>
      <w:r>
        <w:rPr>
          <w:b/>
          <w:bCs/>
        </w:rPr>
        <w:t xml:space="preserve">Payment timing:</w:t>
      </w:r>
    </w:p>
    <w:p>
      <w:pPr>
        <w:numPr>
          <w:ilvl w:val="0"/>
          <w:numId w:val="1001"/>
        </w:numPr>
      </w:pPr>
      <w:r>
        <w:rPr>
          <w:b/>
          <w:bCs/>
        </w:rPr>
        <w:t xml:space="preserve">KS1 units</w:t>
      </w:r>
      <w:r>
        <w:t xml:space="preserve"> </w:t>
      </w:r>
      <w:r>
        <w:t xml:space="preserve">(units matching KS1 backer orders): royalty due within</w:t>
      </w:r>
      <w:r>
        <w:br/>
      </w:r>
      <w:r>
        <w:rPr>
          <w:b/>
          <w:bCs/>
        </w:rPr>
        <w:t xml:space="preserve">thirty (30) days</w:t>
      </w:r>
      <w:r>
        <w:t xml:space="preserve"> </w:t>
      </w:r>
      <w:r>
        <w:t xml:space="preserve">of Publisher's receipt of KS1 funds from the</w:t>
      </w:r>
      <w:r>
        <w:br/>
      </w:r>
      <w:r>
        <w:t xml:space="preserve">crowdfunding platform.</w:t>
      </w:r>
    </w:p>
    <w:p>
      <w:pPr>
        <w:numPr>
          <w:ilvl w:val="0"/>
          <w:numId w:val="1001"/>
        </w:numPr>
      </w:pPr>
      <w:r>
        <w:rPr>
          <w:b/>
          <w:bCs/>
        </w:rPr>
        <w:t xml:space="preserve">Additional units</w:t>
      </w:r>
      <w:r>
        <w:t xml:space="preserve"> </w:t>
      </w:r>
      <w:r>
        <w:t xml:space="preserve">(units ordered above and beyond KS1 backer</w:t>
      </w:r>
      <w:r>
        <w:br/>
      </w:r>
      <w:r>
        <w:t xml:space="preserve">orders, including minimum order quantity adjustments and reorders):</w:t>
      </w:r>
      <w:r>
        <w:br/>
      </w:r>
      <w:r>
        <w:t xml:space="preserve">royalty due upon Publisher's receipt of such units from the</w:t>
      </w:r>
      <w:r>
        <w:br/>
      </w:r>
      <w:r>
        <w:t xml:space="preserve">manufacturer, payable in the next quarterly reporting cycle.</w:t>
      </w:r>
    </w:p>
    <w:p>
      <w:pPr>
        <w:pStyle w:val="FirstParagraph"/>
      </w:pPr>
      <w:r>
        <w:rPr>
          <w:b/>
          <w:bCs/>
        </w:rPr>
        <w:t xml:space="preserve">Minimum payout threshold:</w:t>
      </w:r>
      <w:r>
        <w:t xml:space="preserve"> </w:t>
      </w:r>
      <w:r>
        <w:t xml:space="preserve">$50.</w:t>
      </w:r>
    </w:p>
    <w:p>
      <w:pPr>
        <w:pStyle w:val="BodyText"/>
      </w:pPr>
      <w:r>
        <w:rPr>
          <w:b/>
          <w:bCs/>
        </w:rPr>
        <w:t xml:space="preserve">Late payment interest:</w:t>
      </w:r>
      <w:r>
        <w:t xml:space="preserve"> </w:t>
      </w:r>
      <w:r>
        <w:t xml:space="preserve">Overdue amounts accrue interest at</w:t>
      </w:r>
      <w:r>
        <w:t xml:space="preserve"> </w:t>
      </w:r>
      <w:r>
        <w:rPr>
          <w:b/>
          <w:bCs/>
        </w:rPr>
        <w:t xml:space="preserve">1.5% per</w:t>
      </w:r>
      <w:r>
        <w:br/>
      </w:r>
      <w:r>
        <w:rPr>
          <w:b/>
          <w:bCs/>
        </w:rPr>
        <w:t xml:space="preserve">month</w:t>
      </w:r>
      <w:r>
        <w:t xml:space="preserve"> </w:t>
      </w:r>
      <w:r>
        <w:t xml:space="preserve">(or the maximum rate permitted by law, if lower) from the due</w:t>
      </w:r>
      <w:r>
        <w:br/>
      </w:r>
      <w:r>
        <w:t xml:space="preserve">date until paid.</w:t>
      </w:r>
    </w:p>
    <w:p>
      <w:pPr>
        <w:pStyle w:val="BodyText"/>
      </w:pPr>
      <w:r>
        <w:rPr>
          <w:b/>
          <w:bCs/>
        </w:rPr>
        <w:t xml:space="preserve">Audit:</w:t>
      </w:r>
      <w:r>
        <w:t xml:space="preserve"> </w:t>
      </w:r>
      <w:r>
        <w:t xml:space="preserve">Licensor may audit relevant records no more than 1×/year with</w:t>
      </w:r>
      <w:r>
        <w:br/>
      </w:r>
      <w:r>
        <w:t xml:space="preserve">reasonable notice; cost shifting applies if underpayment exceeds 10%.</w:t>
      </w:r>
    </w:p>
    <w:p>
      <w:pPr>
        <w:pStyle w:val="BodyText"/>
      </w:pPr>
      <w:r>
        <w:rPr>
          <w:b/>
          <w:bCs/>
        </w:rPr>
        <w:t xml:space="preserve">6.5 Assignment / Sublicensing Consideration</w:t>
      </w:r>
    </w:p>
    <w:p>
      <w:pPr>
        <w:pStyle w:val="BodyText"/>
      </w:pPr>
      <w:r>
        <w:t xml:space="preserve">If Publisher receives upfront consideration primarily in exchange for</w:t>
      </w:r>
      <w:r>
        <w:br/>
      </w:r>
      <w:r>
        <w:t xml:space="preserve">sublicensing or assigning rights to the Licensed Property or Product (as</w:t>
      </w:r>
      <w:r>
        <w:br/>
      </w:r>
      <w:r>
        <w:t xml:space="preserve">opposed to ordinary-course product sales), Publisher will pay Licensor</w:t>
      </w:r>
      <w:r>
        <w:br/>
      </w:r>
      <w:r>
        <w:t xml:space="preserve">5% of such net consideration, after deduction of reasonable documented</w:t>
      </w:r>
      <w:r>
        <w:br/>
      </w:r>
      <w:r>
        <w:t xml:space="preserve">third-party transaction costs.</w:t>
      </w:r>
    </w:p>
    <w:p>
      <w:pPr>
        <w:pStyle w:val="BodyText"/>
      </w:pPr>
      <w:r>
        <w:rPr>
          <w:b/>
          <w:bCs/>
        </w:rPr>
        <w:t xml:space="preserve">7. Term and Reversion</w:t>
      </w:r>
    </w:p>
    <w:p>
      <w:pPr>
        <w:pStyle w:val="BodyText"/>
      </w:pPr>
      <w:r>
        <w:rPr>
          <w:b/>
          <w:bCs/>
        </w:rPr>
        <w:t xml:space="preserve">7.1 KS1 Phase</w:t>
      </w:r>
    </w:p>
    <w:p>
      <w:pPr>
        <w:pStyle w:val="BodyText"/>
      </w:pPr>
      <w:r>
        <w:t xml:space="preserve">The exclusive license begins on the Effective Date and continues through</w:t>
      </w:r>
      <w:r>
        <w:br/>
      </w:r>
      <w:r>
        <w:t xml:space="preserve">completion of KS1 fulfillment and</w:t>
      </w:r>
      <w:r>
        <w:t xml:space="preserve"> </w:t>
      </w:r>
      <w:r>
        <w:rPr>
          <w:b/>
          <w:bCs/>
        </w:rPr>
        <w:t xml:space="preserve">twelve (12) months</w:t>
      </w:r>
      <w:r>
        <w:t xml:space="preserve"> </w:t>
      </w:r>
      <w:r>
        <w:t xml:space="preserve">thereafter.</w:t>
      </w:r>
      <w:r>
        <w:br/>
      </w:r>
      <w:r>
        <w:t xml:space="preserve">"Fulfillment Completion" means the earlier of: (i) shipment of at least</w:t>
      </w:r>
      <w:r>
        <w:br/>
      </w:r>
      <w:r>
        <w:t xml:space="preserve">95% of KS1 backer rewards for the Product, or (ii)</w:t>
      </w:r>
      <w:r>
        <w:t xml:space="preserve"> </w:t>
      </w:r>
      <w:r>
        <w:rPr>
          <w:b/>
          <w:bCs/>
        </w:rPr>
        <w:t xml:space="preserve">eighteen (18) months after the KS1 campaign close date</w:t>
      </w:r>
      <w:r>
        <w:t xml:space="preserve">, subject to reasonable delays and good-faith updates.</w:t>
      </w:r>
    </w:p>
    <w:p>
      <w:pPr>
        <w:pStyle w:val="BodyText"/>
      </w:pPr>
      <w:r>
        <w:rPr>
          <w:b/>
          <w:bCs/>
        </w:rPr>
        <w:t xml:space="preserve">7.2 Reversion Triggers</w:t>
      </w:r>
    </w:p>
    <w:p>
      <w:pPr>
        <w:pStyle w:val="BodyText"/>
      </w:pPr>
      <w:r>
        <w:t xml:space="preserve">Rights to the Licensed Property revert to Licensor (subject to sell-off)</w:t>
      </w:r>
      <w:r>
        <w:br/>
      </w:r>
      <w:r>
        <w:t xml:space="preserve">if:</w:t>
      </w:r>
    </w:p>
    <w:p>
      <w:pPr>
        <w:numPr>
          <w:ilvl w:val="0"/>
          <w:numId w:val="1002"/>
        </w:numPr>
      </w:pPr>
      <w:r>
        <w:t xml:space="preserve">Failure to launch KS1 by the target KS1 launch date (as determined</w:t>
      </w:r>
      <w:r>
        <w:br/>
      </w:r>
      <w:r>
        <w:t xml:space="preserve">under Exhibit A4, including any automatic adjustment for late</w:t>
      </w:r>
      <w:r>
        <w:br/>
      </w:r>
      <w:r>
        <w:t xml:space="preserve">execution), after written notice and a</w:t>
      </w:r>
      <w:r>
        <w:t xml:space="preserve"> </w:t>
      </w:r>
      <w:r>
        <w:rPr>
          <w:b/>
          <w:bCs/>
        </w:rPr>
        <w:t xml:space="preserve">thirty (30)</w:t>
      </w:r>
      <w:r>
        <w:t xml:space="preserve">-day cure period;</w:t>
      </w:r>
    </w:p>
    <w:p>
      <w:pPr>
        <w:numPr>
          <w:ilvl w:val="0"/>
          <w:numId w:val="1002"/>
        </w:numPr>
      </w:pPr>
      <w:r>
        <w:t xml:space="preserve">After KS1 fulfillment, the Product is not In Print for twelve (12)</w:t>
      </w:r>
      <w:r>
        <w:br/>
      </w:r>
      <w:r>
        <w:t xml:space="preserve">consecutive months, after notice and a ninety (90) day cure period;</w:t>
      </w:r>
    </w:p>
    <w:p>
      <w:pPr>
        <w:numPr>
          <w:ilvl w:val="0"/>
          <w:numId w:val="1002"/>
        </w:numPr>
      </w:pPr>
      <w:r>
        <w:t xml:space="preserve">Material nonreporting/nonpayment not cured within</w:t>
      </w:r>
      <w:r>
        <w:br/>
      </w:r>
      <w:r>
        <w:t xml:space="preserve">forty-five (45) days after notice; or</w:t>
      </w:r>
    </w:p>
    <w:p>
      <w:pPr>
        <w:numPr>
          <w:ilvl w:val="0"/>
          <w:numId w:val="1002"/>
        </w:numPr>
      </w:pPr>
      <w:r>
        <w:t xml:space="preserve">Insolvency/bankruptcy event occurs.</w:t>
      </w:r>
    </w:p>
    <w:p>
      <w:pPr>
        <w:pStyle w:val="FirstParagraph"/>
      </w:pPr>
      <w:r>
        <w:rPr>
          <w:b/>
          <w:bCs/>
        </w:rPr>
        <w:t xml:space="preserve">"In Print"</w:t>
      </w:r>
      <w:r>
        <w:t xml:space="preserve"> </w:t>
      </w:r>
      <w:r>
        <w:t xml:space="preserve">means Publisher is actively offering the Product for sale</w:t>
      </w:r>
      <w:r>
        <w:br/>
      </w:r>
      <w:r>
        <w:t xml:space="preserve">through at least one commercial channel and can ship within 45 days,</w:t>
      </w:r>
      <w:r>
        <w:br/>
      </w:r>
      <w:r>
        <w:t xml:space="preserve">excluding ordinary supply-chain disruptions.</w:t>
      </w:r>
    </w:p>
    <w:p>
      <w:pPr>
        <w:pStyle w:val="BodyText"/>
      </w:pPr>
      <w:r>
        <w:rPr>
          <w:b/>
          <w:bCs/>
        </w:rPr>
        <w:t xml:space="preserve">7.3 KS1 Failure or Cancellation</w:t>
      </w:r>
    </w:p>
    <w:p>
      <w:pPr>
        <w:pStyle w:val="BodyText"/>
      </w:pPr>
      <w:r>
        <w:t xml:space="preserve">If KS1 launches but fails to reach its funding goal, or if the campaign</w:t>
      </w:r>
      <w:r>
        <w:br/>
      </w:r>
      <w:r>
        <w:t xml:space="preserve">is cancelled for any reason, the exclusive license shall terminate</w:t>
      </w:r>
      <w:r>
        <w:br/>
      </w:r>
      <w:r>
        <w:t xml:space="preserve">automatically. Commission payments already made to Licensor for</w:t>
      </w:r>
      <w:r>
        <w:br/>
      </w:r>
      <w:r>
        <w:t xml:space="preserve">delivered work are non-refundable. No royalties shall be owed. The</w:t>
      </w:r>
      <w:r>
        <w:br/>
      </w:r>
      <w:r>
        <w:t xml:space="preserve">license shall not survive for a relaunch or subsequent campaign unless</w:t>
      </w:r>
      <w:r>
        <w:br/>
      </w:r>
      <w:r>
        <w:t xml:space="preserve">both parties agree in writing to new terms.</w:t>
      </w:r>
    </w:p>
    <w:p>
      <w:pPr>
        <w:pStyle w:val="BodyText"/>
      </w:pPr>
      <w:r>
        <w:rPr>
          <w:b/>
          <w:bCs/>
        </w:rPr>
        <w:t xml:space="preserve">8. Right of First Negotiation (Future Products)</w:t>
      </w:r>
    </w:p>
    <w:p>
      <w:pPr>
        <w:pStyle w:val="BodyText"/>
      </w:pPr>
      <w:r>
        <w:t xml:space="preserve">If either party wishes to develop or license additional tabletop card game products beyond the Product using the Licensed Property (including expansions, reprints, or new card games within the Licensed Property universe), that party shall provide the other with written notice describing the proposed product or opportunity in reasonable detail. The sixty (60) day exclusive negotiation period shall commence on the date such written notice is received. During that period, the parties will negotiate in good faith, and neither party may engage third parties for such products until the negotiation period has expired without agreement. For clarity, this right of first negotiation does not obligate either party to reach agreement and does not create any exclusive right beyond the negotiation window.</w:t>
      </w:r>
    </w:p>
    <w:p>
      <w:pPr>
        <w:pStyle w:val="BodyText"/>
      </w:pPr>
      <w:r>
        <w:rPr>
          <w:b/>
          <w:bCs/>
        </w:rPr>
        <w:t xml:space="preserve">9. IG/TikTok Story Campaign (If Included)</w:t>
      </w:r>
    </w:p>
    <w:p>
      <w:pPr>
        <w:pStyle w:val="BodyText"/>
      </w:pPr>
      <w:r>
        <w:t xml:space="preserve">Minimum</w:t>
      </w:r>
      <w:r>
        <w:t xml:space="preserve"> </w:t>
      </w:r>
      <w:r>
        <w:rPr>
          <w:b/>
          <w:bCs/>
        </w:rPr>
        <w:t xml:space="preserve">10</w:t>
      </w:r>
      <w:r>
        <w:t xml:space="preserve"> </w:t>
      </w:r>
      <w:r>
        <w:t xml:space="preserve">story placements during the 10-week lead-up to KS1 at</w:t>
      </w:r>
      <w:r>
        <w:br/>
      </w:r>
      <w:r>
        <w:rPr>
          <w:b/>
          <w:bCs/>
        </w:rPr>
        <w:t xml:space="preserve">$50/story</w:t>
      </w:r>
      <w:r>
        <w:t xml:space="preserve">. Schedule locked per the story schedule lock milestone in</w:t>
      </w:r>
      <w:r>
        <w:br/>
      </w:r>
      <w:r>
        <w:t xml:space="preserve">Exhibit A4. Proof within 24 hours; make-good within 7 days or refund</w:t>
      </w:r>
      <w:r>
        <w:br/>
      </w:r>
      <w:r>
        <w:t xml:space="preserve">for that placement. Administrative details may be further specified in</w:t>
      </w:r>
      <w:r>
        <w:br/>
      </w:r>
      <w:r>
        <w:t xml:space="preserve">Exhibit A.</w:t>
      </w:r>
    </w:p>
    <w:p>
      <w:pPr>
        <w:pStyle w:val="BodyText"/>
      </w:pPr>
      <w:r>
        <w:rPr>
          <w:b/>
          <w:bCs/>
        </w:rPr>
        <w:t xml:space="preserve">10. Credits &amp; Portfolio</w:t>
      </w:r>
    </w:p>
    <w:p>
      <w:pPr>
        <w:pStyle w:val="BodyText"/>
      </w:pPr>
      <w:r>
        <w:t xml:space="preserve">Publisher provides standard artist/IP credit where customary. Licensor</w:t>
      </w:r>
      <w:r>
        <w:br/>
      </w:r>
      <w:r>
        <w:t xml:space="preserve">may display commissioned work in portfolio after public reveal, subject</w:t>
      </w:r>
      <w:r>
        <w:br/>
      </w:r>
      <w:r>
        <w:t xml:space="preserve">to reasonable confidentiality prior to reveal.</w:t>
      </w:r>
    </w:p>
    <w:p>
      <w:pPr>
        <w:pStyle w:val="BodyText"/>
      </w:pPr>
      <w:r>
        <w:rPr>
          <w:b/>
          <w:bCs/>
        </w:rPr>
        <w:t xml:space="preserve">11. Ownership; Logo; Warranties</w:t>
      </w:r>
    </w:p>
    <w:p>
      <w:pPr>
        <w:pStyle w:val="BodyText"/>
      </w:pPr>
      <w:r>
        <w:rPr>
          <w:b/>
          <w:bCs/>
        </w:rPr>
        <w:t xml:space="preserve">Licensor Ownership.</w:t>
      </w:r>
      <w:r>
        <w:t xml:space="preserve"> </w:t>
      </w:r>
      <w:r>
        <w:t xml:space="preserve">Licensor retains all right, title, and interest</w:t>
      </w:r>
      <w:r>
        <w:br/>
      </w:r>
      <w:r>
        <w:t xml:space="preserve">in the Licensed Property and the Franchise Marks.</w:t>
      </w:r>
    </w:p>
    <w:p>
      <w:pPr>
        <w:pStyle w:val="BodyText"/>
      </w:pPr>
      <w:r>
        <w:rPr>
          <w:b/>
          <w:bCs/>
        </w:rPr>
        <w:t xml:space="preserve">Publisher Ownership.</w:t>
      </w:r>
      <w:r>
        <w:t xml:space="preserve"> </w:t>
      </w:r>
      <w:r>
        <w:t xml:space="preserve">Publisher retains all right, title, and</w:t>
      </w:r>
      <w:r>
        <w:br/>
      </w:r>
      <w:r>
        <w:t xml:space="preserve">interest in the game rules/mechanics and Publisher-created content that</w:t>
      </w:r>
      <w:r>
        <w:br/>
      </w:r>
      <w:r>
        <w:t xml:space="preserve">does not constitute Licensed Property, and in the Product Marks.</w:t>
      </w:r>
      <w:r>
        <w:br/>
      </w:r>
      <w:r>
        <w:t xml:space="preserve">Publisher does not own the Franchise Marks.</w:t>
      </w:r>
    </w:p>
    <w:p>
      <w:pPr>
        <w:pStyle w:val="BodyText"/>
      </w:pPr>
      <w:r>
        <w:rPr>
          <w:b/>
          <w:bCs/>
        </w:rPr>
        <w:t xml:space="preserve">Game Logo.</w:t>
      </w:r>
      <w:r>
        <w:t xml:space="preserve"> </w:t>
      </w:r>
      <w:r>
        <w:t xml:space="preserve">The game logo deliverable is a "work made for hire" to</w:t>
      </w:r>
      <w:r>
        <w:br/>
      </w:r>
      <w:r>
        <w:t xml:space="preserve">the maximum extent permitted by law; to the extent not, Licensor assigns</w:t>
      </w:r>
      <w:r>
        <w:br/>
      </w:r>
      <w:r>
        <w:t xml:space="preserve">to Publisher all right, title, and interest in the logo and associated</w:t>
      </w:r>
      <w:r>
        <w:br/>
      </w:r>
      <w:r>
        <w:t xml:space="preserve">copyrights. Licensor will have consultation rights over the game logo</w:t>
      </w:r>
      <w:r>
        <w:br/>
      </w:r>
      <w:r>
        <w:t xml:space="preserve">consistent with the Quality Control process in Section 5.2.1. All game</w:t>
      </w:r>
      <w:r>
        <w:br/>
      </w:r>
      <w:r>
        <w:t xml:space="preserve">logo rights assigned to Publisher under this section are subject to the</w:t>
      </w:r>
      <w:r>
        <w:br/>
      </w:r>
      <w:r>
        <w:t xml:space="preserve">Pre-Launch Termination provision in Section 12.</w:t>
      </w:r>
    </w:p>
    <w:p>
      <w:pPr>
        <w:pStyle w:val="BodyText"/>
      </w:pPr>
      <w:r>
        <w:rPr>
          <w:b/>
          <w:bCs/>
        </w:rPr>
        <w:t xml:space="preserve">Artificial Intelligence Restrictions.</w:t>
      </w:r>
      <w:r>
        <w:t xml:space="preserve"> </w:t>
      </w:r>
      <w:r>
        <w:t xml:space="preserve">Publisher shall not input, upload, or otherwise use the Licensed Property — including but not limited to artwork, logos, character designs, story elements, and any other creative materials created by or provided by Licensor — in connection with any artificial intelligence or machine learning tool, model, platform, or training dataset. This restriction applies to generative AI image tools, large language models, and any other AI system, whether for the purpose of generating new content, training, fine-tuning, or any other use. Publisher shall ensure that any sublicensees, service providers, and contractors are bound by the same restriction.</w:t>
      </w:r>
    </w:p>
    <w:p>
      <w:pPr>
        <w:pStyle w:val="BodyText"/>
      </w:pPr>
      <w:r>
        <w:rPr>
          <w:b/>
          <w:bCs/>
        </w:rPr>
        <w:t xml:space="preserve">No AI-Generated Art.</w:t>
      </w:r>
      <w:r>
        <w:t xml:space="preserve"> </w:t>
      </w:r>
      <w:r>
        <w:t xml:space="preserve">Licensor warrants that all commissioned works delivered under Exhibit A are created entirely by human effort and do not contain content generated by artificial intelligence or machine learning tools. For the avoidance of doubt, this warranty covers the final deliverables as well as any component elements incorporated therein.</w:t>
      </w:r>
    </w:p>
    <w:p>
      <w:pPr>
        <w:pStyle w:val="BodyText"/>
      </w:pPr>
      <w:r>
        <w:rPr>
          <w:b/>
          <w:bCs/>
        </w:rPr>
        <w:t xml:space="preserve">Warranties.</w:t>
      </w:r>
      <w:r>
        <w:t xml:space="preserve"> </w:t>
      </w:r>
      <w:r>
        <w:t xml:space="preserve">Licensor warrants that (i) Licensor is the sole owner</w:t>
      </w:r>
      <w:r>
        <w:br/>
      </w:r>
      <w:r>
        <w:t xml:space="preserve">of the Licensed Property and the Franchise Marks and has the full right</w:t>
      </w:r>
      <w:r>
        <w:br/>
      </w:r>
      <w:r>
        <w:t xml:space="preserve">and authority to grant the licenses contemplated in this term sheet;</w:t>
      </w:r>
      <w:r>
        <w:br/>
      </w:r>
      <w:r>
        <w:t xml:space="preserve">(ii) the Licensed Property does not infringe any third-party</w:t>
      </w:r>
      <w:r>
        <w:br/>
      </w:r>
      <w:r>
        <w:t xml:space="preserve">intellectual property rights; and (iii) all commissioned works are</w:t>
      </w:r>
      <w:r>
        <w:br/>
      </w:r>
      <w:r>
        <w:t xml:space="preserve">original and properly licensed, with no unlicensed third-party</w:t>
      </w:r>
      <w:r>
        <w:br/>
      </w:r>
      <w:r>
        <w:t xml:space="preserve">stock/fonts/assets. Indemnification terms to be addressed in the</w:t>
      </w:r>
      <w:r>
        <w:br/>
      </w:r>
      <w:r>
        <w:t xml:space="preserve">Definitive Agreement.</w:t>
      </w:r>
    </w:p>
    <w:p>
      <w:pPr>
        <w:pStyle w:val="BodyText"/>
      </w:pPr>
      <w:r>
        <w:rPr>
          <w:b/>
          <w:bCs/>
        </w:rPr>
        <w:t xml:space="preserve">12. Publisher Termination for Convenience</w:t>
      </w:r>
    </w:p>
    <w:p>
      <w:pPr>
        <w:pStyle w:val="BodyText"/>
      </w:pPr>
      <w:r>
        <w:t xml:space="preserve">Publisher may terminate the license for convenience on</w:t>
      </w:r>
      <w:r>
        <w:br/>
      </w:r>
      <w:r>
        <w:rPr>
          <w:b/>
          <w:bCs/>
        </w:rPr>
        <w:t xml:space="preserve">one hundred twenty (120) days'</w:t>
      </w:r>
      <w:r>
        <w:t xml:space="preserve"> </w:t>
      </w:r>
      <w:r>
        <w:t xml:space="preserve">written notice, effective no earlier</w:t>
      </w:r>
      <w:r>
        <w:br/>
      </w:r>
      <w:r>
        <w:t xml:space="preserve">than Fulfillment Completion. Sell-off applies; royalties/reporting</w:t>
      </w:r>
      <w:r>
        <w:br/>
      </w:r>
      <w:r>
        <w:t xml:space="preserve">remain due for sell-off sales.</w:t>
      </w:r>
    </w:p>
    <w:p>
      <w:pPr>
        <w:pStyle w:val="BodyText"/>
      </w:pPr>
      <w:r>
        <w:rPr>
          <w:b/>
          <w:bCs/>
        </w:rPr>
        <w:t xml:space="preserve">Pre-Launch Termination.</w:t>
      </w:r>
      <w:r>
        <w:t xml:space="preserve"> </w:t>
      </w:r>
      <w:r>
        <w:t xml:space="preserve">If the Definitive Agreement is terminated for any reason prior to the launch of KS1, all commissioned artwork created by Licensor for the Product under Exhibit A (whether delivered or in progress), including the game logo, shall revert to Licensor. All rights granted to Publisher under this Agreement — including the work-for-hire assignment in Section 11 — shall terminate, and Publisher shall have no further rights to use any such artwork. Commission payments already made for delivered and accepted work (per Section 3.2) are non-refundable. Commission payments attributable to deliverables not yet delivered and accepted at the time of termination shall be refunded to Publisher within</w:t>
      </w:r>
      <w:r>
        <w:t xml:space="preserve"> </w:t>
      </w:r>
      <w:r>
        <w:rPr>
          <w:b/>
          <w:bCs/>
        </w:rPr>
        <w:t xml:space="preserve">thirty (30) days</w:t>
      </w:r>
      <w:r>
        <w:t xml:space="preserve">.</w:t>
      </w:r>
    </w:p>
    <w:p>
      <w:pPr>
        <w:pStyle w:val="BodyText"/>
      </w:pPr>
      <w:r>
        <w:rPr>
          <w:b/>
          <w:bCs/>
        </w:rPr>
        <w:t xml:space="preserve">Termination for Material Breach.</w:t>
      </w:r>
      <w:r>
        <w:t xml:space="preserve"> </w:t>
      </w:r>
      <w:r>
        <w:t xml:space="preserve">Either party may terminate the</w:t>
      </w:r>
      <w:r>
        <w:br/>
      </w:r>
      <w:r>
        <w:t xml:space="preserve">Definitive Agreement if the other party materially breaches any term and</w:t>
      </w:r>
      <w:r>
        <w:br/>
      </w:r>
      <w:r>
        <w:t xml:space="preserve">fails to cure such breach within</w:t>
      </w:r>
      <w:r>
        <w:t xml:space="preserve"> </w:t>
      </w:r>
      <w:r>
        <w:rPr>
          <w:b/>
          <w:bCs/>
        </w:rPr>
        <w:t xml:space="preserve">thirty (30) days</w:t>
      </w:r>
      <w:r>
        <w:t xml:space="preserve"> </w:t>
      </w:r>
      <w:r>
        <w:t xml:space="preserve">after receiving</w:t>
      </w:r>
      <w:r>
        <w:br/>
      </w:r>
      <w:r>
        <w:t xml:space="preserve">written notice specifying the breach in reasonable detail. Termination</w:t>
      </w:r>
      <w:r>
        <w:br/>
      </w:r>
      <w:r>
        <w:t xml:space="preserve">under this provision is in addition to, and does not limit, any other</w:t>
      </w:r>
      <w:r>
        <w:br/>
      </w:r>
      <w:r>
        <w:t xml:space="preserve">remedies available to the non-breaching party.</w:t>
      </w:r>
    </w:p>
    <w:p>
      <w:pPr>
        <w:pStyle w:val="BodyText"/>
      </w:pPr>
      <w:r>
        <w:rPr>
          <w:b/>
          <w:bCs/>
        </w:rPr>
        <w:t xml:space="preserve">13. Independent Contractor</w:t>
      </w:r>
    </w:p>
    <w:p>
      <w:pPr>
        <w:pStyle w:val="BodyText"/>
      </w:pPr>
      <w:r>
        <w:t xml:space="preserve">Licensor is an independent contractor and not an employee, agent, or</w:t>
      </w:r>
      <w:r>
        <w:br/>
      </w:r>
      <w:r>
        <w:t xml:space="preserve">partner of Publisher. Licensor is solely responsible for all taxes,</w:t>
      </w:r>
      <w:r>
        <w:br/>
      </w:r>
      <w:r>
        <w:t xml:space="preserve">insurance, and benefits arising from compensation received under the</w:t>
      </w:r>
      <w:r>
        <w:br/>
      </w:r>
      <w:r>
        <w:t xml:space="preserve">Definitive Agreement. Publisher will issue a Form 1099 as required by</w:t>
      </w:r>
      <w:r>
        <w:br/>
      </w:r>
      <w:r>
        <w:t xml:space="preserve">law.</w:t>
      </w:r>
    </w:p>
    <w:p>
      <w:pPr>
        <w:pStyle w:val="BodyText"/>
      </w:pPr>
      <w:r>
        <w:rPr>
          <w:b/>
          <w:bCs/>
        </w:rPr>
        <w:t xml:space="preserve">14. Confidentiality</w:t>
      </w:r>
    </w:p>
    <w:p>
      <w:pPr>
        <w:pStyle w:val="BodyText"/>
      </w:pPr>
      <w:r>
        <w:t xml:space="preserve">Each party agrees to keep confidential the terms of this term sheet and</w:t>
      </w:r>
      <w:r>
        <w:br/>
      </w:r>
      <w:r>
        <w:t xml:space="preserve">the Definitive Agreement, as well as any non-public business, financial,</w:t>
      </w:r>
      <w:r>
        <w:br/>
      </w:r>
      <w:r>
        <w:t xml:space="preserve">or technical information disclosed by the other party in connection with</w:t>
      </w:r>
      <w:r>
        <w:br/>
      </w:r>
      <w:r>
        <w:t xml:space="preserve">the transactions contemplated herein. This obligation does not apply to</w:t>
      </w:r>
      <w:r>
        <w:br/>
      </w:r>
      <w:r>
        <w:t xml:space="preserve">information that (i) is or becomes publicly available through no fault of</w:t>
      </w:r>
      <w:r>
        <w:br/>
      </w:r>
      <w:r>
        <w:t xml:space="preserve">the receiving party, (ii) was known to the receiving party prior to</w:t>
      </w:r>
      <w:r>
        <w:br/>
      </w:r>
      <w:r>
        <w:t xml:space="preserve">disclosure, (iii) is independently developed without use of confidential</w:t>
      </w:r>
      <w:r>
        <w:br/>
      </w:r>
      <w:r>
        <w:t xml:space="preserve">information, or (iv) is required to be disclosed by law, regulation, or</w:t>
      </w:r>
      <w:r>
        <w:br/>
      </w:r>
      <w:r>
        <w:t xml:space="preserve">court order (with prompt notice to the disclosing party where permitted).</w:t>
      </w:r>
      <w:r>
        <w:br/>
      </w:r>
      <w:r>
        <w:t xml:space="preserve">Confidentiality obligations survive termination or expiration for</w:t>
      </w:r>
      <w:r>
        <w:br/>
      </w:r>
      <w:r>
        <w:rPr>
          <w:b/>
          <w:bCs/>
        </w:rPr>
        <w:t xml:space="preserve">two (2) years</w:t>
      </w:r>
      <w:r>
        <w:t xml:space="preserve">. Specific terms to be detailed in the Definitive</w:t>
      </w:r>
      <w:r>
        <w:br/>
      </w:r>
      <w:r>
        <w:t xml:space="preserve">Agreement.</w:t>
      </w:r>
    </w:p>
    <w:p>
      <w:pPr>
        <w:pStyle w:val="BodyText"/>
      </w:pPr>
      <w:r>
        <w:rPr>
          <w:b/>
          <w:bCs/>
        </w:rPr>
        <w:t xml:space="preserve">15. Notices and Written Acceptance</w:t>
      </w:r>
    </w:p>
    <w:p>
      <w:pPr>
        <w:pStyle w:val="BodyText"/>
      </w:pPr>
      <w:r>
        <w:t xml:space="preserve">All notices, approvals, consents, and acceptances of changes under the Definitive Agreement must be in writing via email to the addresses designated by each party in the Definitive Agreement. An approval or acceptance is not effective until confirmed in writing via email by the accepting party.</w:t>
      </w:r>
    </w:p>
    <w:p>
      <w:pPr>
        <w:pStyle w:val="BodyText"/>
      </w:pPr>
      <w:r>
        <w:rPr>
          <w:b/>
          <w:bCs/>
        </w:rPr>
        <w:t xml:space="preserve">16. Non-Binding; Governing Law</w:t>
      </w:r>
    </w:p>
    <w:p>
      <w:pPr>
        <w:pStyle w:val="BodyText"/>
      </w:pPr>
      <w:r>
        <w:t xml:space="preserve">This term sheet is non-binding for negotiation purposes only, except as</w:t>
      </w:r>
      <w:r>
        <w:br/>
      </w:r>
      <w:r>
        <w:t xml:space="preserve">expressly stated in the Definitive Agreement. Governing law:</w:t>
      </w:r>
      <w:r>
        <w:br/>
      </w:r>
      <w:r>
        <w:rPr>
          <w:b/>
          <w:bCs/>
        </w:rPr>
        <w:t xml:space="preserve">Arizona</w:t>
      </w:r>
      <w:r>
        <w:t xml:space="preserve">. Disputes to be resolved by binding arbitration in</w:t>
      </w:r>
      <w:r>
        <w:br/>
      </w:r>
      <w:r>
        <w:rPr>
          <w:b/>
          <w:bCs/>
        </w:rPr>
        <w:t xml:space="preserve">Maricopa County, Arizona</w:t>
      </w:r>
      <w:r>
        <w:t xml:space="preserve">; details to be set forth in the Definitive</w:t>
      </w:r>
      <w:r>
        <w:br/>
      </w:r>
      <w:r>
        <w:t xml:space="preserve">Agreement.</w:t>
      </w:r>
    </w:p>
    <w:p>
      <w:pPr>
        <w:pStyle w:val="BodyText"/>
      </w:pPr>
      <w:r>
        <w:rPr>
          <w:b/>
          <w:bCs/>
        </w:rPr>
        <w:t xml:space="preserve">Acknowledged (Non-Binding)</w:t>
      </w:r>
    </w:p>
    <w:p>
      <w:pPr>
        <w:pStyle w:val="BodyText"/>
      </w:pPr>
      <w:r>
        <w:t xml:space="preserve">Publisher: _____________________________</w:t>
      </w:r>
      <w:r>
        <w:br/>
      </w:r>
      <w:r>
        <w:t xml:space="preserve">Date: ____________</w:t>
      </w:r>
    </w:p>
    <w:p>
      <w:pPr>
        <w:pStyle w:val="BodyText"/>
      </w:pPr>
      <w:r>
        <w:t xml:space="preserve">Licensor: _____________________________</w:t>
      </w:r>
      <w:r>
        <w:br/>
      </w:r>
      <w:r>
        <w:t xml:space="preserve">Date: ____________</w:t>
      </w:r>
    </w:p>
    <w:p>
      <w:pPr>
        <w:pStyle w:val="BodyText"/>
      </w:pPr>
      <w:r>
        <w:rPr>
          <w:b/>
          <w:bCs/>
        </w:rPr>
        <w:t xml:space="preserve">EXHIBIT A --- Deliverables, Specs, Schedule, Commission Payments</w:t>
      </w:r>
    </w:p>
    <w:p>
      <w:pPr>
        <w:pStyle w:val="BodyText"/>
      </w:pPr>
      <w:r>
        <w:rPr>
          <w:b/>
          <w:bCs/>
        </w:rPr>
        <w:t xml:space="preserve">A1. Fixed-Fee Deliverables &amp; Fees</w:t>
      </w:r>
    </w:p>
    <w:p>
      <w:pPr>
        <w:numPr>
          <w:ilvl w:val="0"/>
          <w:numId w:val="1003"/>
        </w:numPr>
      </w:pPr>
      <w:r>
        <w:rPr>
          <w:b/>
          <w:bCs/>
        </w:rPr>
        <w:t xml:space="preserve">Faction pieces (6):</w:t>
      </w:r>
      <w:r>
        <w:t xml:space="preserve"> </w:t>
      </w:r>
      <w:r>
        <w:t xml:space="preserve">6 × $350 = $2,100</w:t>
      </w:r>
    </w:p>
    <w:p>
      <w:pPr>
        <w:numPr>
          <w:ilvl w:val="0"/>
          <w:numId w:val="1003"/>
        </w:numPr>
      </w:pPr>
      <w:r>
        <w:rPr>
          <w:b/>
          <w:bCs/>
        </w:rPr>
        <w:t xml:space="preserve">Card back (1):</w:t>
      </w:r>
      <w:r>
        <w:t xml:space="preserve"> </w:t>
      </w:r>
      <w:r>
        <w:t xml:space="preserve">1 × $350 = $350</w:t>
      </w:r>
    </w:p>
    <w:p>
      <w:pPr>
        <w:numPr>
          <w:ilvl w:val="0"/>
          <w:numId w:val="1003"/>
        </w:numPr>
      </w:pPr>
      <w:r>
        <w:rPr>
          <w:b/>
          <w:bCs/>
        </w:rPr>
        <w:t xml:space="preserve">Box art (1):</w:t>
      </w:r>
      <w:r>
        <w:t xml:space="preserve"> </w:t>
      </w:r>
      <w:r>
        <w:t xml:space="preserve">$750</w:t>
      </w:r>
    </w:p>
    <w:p>
      <w:pPr>
        <w:numPr>
          <w:ilvl w:val="0"/>
          <w:numId w:val="1003"/>
        </w:numPr>
      </w:pPr>
      <w:r>
        <w:rPr>
          <w:b/>
          <w:bCs/>
        </w:rPr>
        <w:t xml:space="preserve">Marketing assets pack (1):</w:t>
      </w:r>
      <w:r>
        <w:t xml:space="preserve"> </w:t>
      </w:r>
      <w:r>
        <w:t xml:space="preserve">$500 (itemized below; cap applies)</w:t>
      </w:r>
    </w:p>
    <w:p>
      <w:pPr>
        <w:numPr>
          <w:ilvl w:val="0"/>
          <w:numId w:val="1003"/>
        </w:numPr>
      </w:pPr>
      <w:r>
        <w:rPr>
          <w:b/>
          <w:bCs/>
        </w:rPr>
        <w:t xml:space="preserve">Game logo (1):</w:t>
      </w:r>
      <w:r>
        <w:t xml:space="preserve"> </w:t>
      </w:r>
      <w:r>
        <w:t xml:space="preserve">$350</w:t>
      </w:r>
      <w:r>
        <w:t xml:space="preserve"> </w:t>
      </w:r>
      <w:r>
        <w:rPr>
          <w:i/>
          <w:iCs/>
        </w:rPr>
        <w:t xml:space="preserve">(scope and final price to be confirmed in writing; $350 is the proposed rate)</w:t>
      </w:r>
    </w:p>
    <w:p>
      <w:pPr>
        <w:numPr>
          <w:ilvl w:val="0"/>
          <w:numId w:val="1003"/>
        </w:numPr>
      </w:pPr>
      <w:r>
        <w:rPr>
          <w:b/>
          <w:bCs/>
        </w:rPr>
        <w:t xml:space="preserve">IG/TikTok stories (min 10):</w:t>
      </w:r>
      <w:r>
        <w:t xml:space="preserve"> </w:t>
      </w:r>
      <w:r>
        <w:t xml:space="preserve">10 × $50 = $500</w:t>
      </w:r>
    </w:p>
    <w:p>
      <w:pPr>
        <w:pStyle w:val="FirstParagraph"/>
      </w:pPr>
      <w:r>
        <w:rPr>
          <w:b/>
          <w:bCs/>
        </w:rPr>
        <w:t xml:space="preserve">A2. Marketing Pack (Itemized; Cap = $500)</w:t>
      </w:r>
    </w:p>
    <w:p>
      <w:pPr>
        <w:pStyle w:val="BodyText"/>
      </w:pPr>
      <w:r>
        <w:rPr>
          <w:b/>
          <w:bCs/>
        </w:rPr>
        <w:t xml:space="preserve">Twelve (12) pieces</w:t>
      </w:r>
      <w:r>
        <w:t xml:space="preserve"> </w:t>
      </w:r>
      <w:r>
        <w:t xml:space="preserve">of pre-existing marketing art provided by Licensor. Sizes, formats, and variants to be specified by Publisher prior to delivery. Marketing Assets may be used by Publisher beginning</w:t>
      </w:r>
      <w:r>
        <w:t xml:space="preserve"> </w:t>
      </w:r>
      <w:r>
        <w:rPr>
          <w:b/>
          <w:bCs/>
        </w:rPr>
        <w:t xml:space="preserve">seven (7) days</w:t>
      </w:r>
      <w:r>
        <w:t xml:space="preserve"> </w:t>
      </w:r>
      <w:r>
        <w:t xml:space="preserve">after execution of the Definitive Agreement and continuing until final delivery of all commissioned artwork under this Exhibit A, at which point Publisher will transition to commissioned artwork for all marketing purposes.</w:t>
      </w:r>
    </w:p>
    <w:p>
      <w:pPr>
        <w:pStyle w:val="BodyText"/>
      </w:pPr>
      <w:r>
        <w:rPr>
          <w:b/>
          <w:bCs/>
        </w:rPr>
        <w:t xml:space="preserve">A3. Technical Specs</w:t>
      </w:r>
    </w:p>
    <w:p>
      <w:pPr>
        <w:pStyle w:val="BodyText"/>
      </w:pPr>
      <w:r>
        <w:t xml:space="preserve">Print-ready exports + layered sources (PSD/AI/etc.) per Publisher</w:t>
      </w:r>
      <w:r>
        <w:br/>
      </w:r>
      <w:r>
        <w:t xml:space="preserve">templates, including color profile and bleed/safe-area compliance.</w:t>
      </w:r>
    </w:p>
    <w:p>
      <w:pPr>
        <w:pStyle w:val="BodyText"/>
      </w:pPr>
      <w:r>
        <w:rPr>
          <w:b/>
          <w:bCs/>
        </w:rPr>
        <w:t xml:space="preserve">A4. Schedule / Milestones</w:t>
      </w:r>
    </w:p>
    <w:p>
      <w:pPr>
        <w:pStyle w:val="BodyText"/>
      </w:pPr>
      <w:r>
        <w:rPr>
          <w:b/>
          <w:bCs/>
        </w:rPr>
        <w:t xml:space="preserve">Target KS1 Launch Date:</w:t>
      </w:r>
      <w:r>
        <w:t xml:space="preserve"> </w:t>
      </w:r>
      <w:r>
        <w:t xml:space="preserve">September 22, 2026.</w:t>
      </w:r>
    </w:p>
    <w:p>
      <w:pPr>
        <w:pStyle w:val="BodyText"/>
      </w:pPr>
      <w:r>
        <w:rPr>
          <w:b/>
          <w:bCs/>
        </w:rPr>
        <w:t xml:space="preserve">Latest Effective Date for Fall 2026 Launch:</w:t>
      </w:r>
      <w:r>
        <w:t xml:space="preserve"> </w:t>
      </w:r>
      <w:r>
        <w:t xml:space="preserve">If the Effective Date falls after</w:t>
      </w:r>
      <w:r>
        <w:t xml:space="preserve"> </w:t>
      </w:r>
      <w:r>
        <w:rPr>
          <w:b/>
          <w:bCs/>
        </w:rPr>
        <w:t xml:space="preserve">March 31, 2026</w:t>
      </w:r>
      <w:r>
        <w:t xml:space="preserve">, the target KS1 launch date shall automatically shift to the spring 2027 launch window (March -- April 2027), and all milestone deadlines below shall be recalculated from the actual Effective Date accordingly.</w:t>
      </w:r>
    </w:p>
    <w:p>
      <w:pPr>
        <w:pStyle w:val="BodyText"/>
      </w:pPr>
      <w:r>
        <w:rPr>
          <w:b/>
          <w:bCs/>
        </w:rPr>
        <w:t xml:space="preserve">Milestone Deadlines (relative to Effective Date):</w:t>
      </w:r>
    </w:p>
    <w:p>
      <w:pPr>
        <w:numPr>
          <w:ilvl w:val="0"/>
          <w:numId w:val="1004"/>
        </w:numPr>
      </w:pPr>
      <w:r>
        <w:rPr>
          <w:b/>
          <w:bCs/>
        </w:rPr>
        <w:t xml:space="preserve">ED + 1 week:</w:t>
      </w:r>
      <w:r>
        <w:t xml:space="preserve"> </w:t>
      </w:r>
      <w:r>
        <w:t xml:space="preserve">Marketing Assets delivered by Licensor (per Section 5.7); art production begins</w:t>
      </w:r>
    </w:p>
    <w:p>
      <w:pPr>
        <w:numPr>
          <w:ilvl w:val="0"/>
          <w:numId w:val="1004"/>
        </w:numPr>
      </w:pPr>
      <w:r>
        <w:rPr>
          <w:b/>
          <w:bCs/>
        </w:rPr>
        <w:t xml:space="preserve">ED + 4 weeks:</w:t>
      </w:r>
      <w:r>
        <w:t xml:space="preserve"> </w:t>
      </w:r>
      <w:r>
        <w:t xml:space="preserve">Faction pieces (6) + card back delivered (print-ready)</w:t>
      </w:r>
    </w:p>
    <w:p>
      <w:pPr>
        <w:numPr>
          <w:ilvl w:val="0"/>
          <w:numId w:val="1004"/>
        </w:numPr>
      </w:pPr>
      <w:r>
        <w:rPr>
          <w:b/>
          <w:bCs/>
        </w:rPr>
        <w:t xml:space="preserve">ED + 8 weeks:</w:t>
      </w:r>
      <w:r>
        <w:t xml:space="preserve"> </w:t>
      </w:r>
      <w:r>
        <w:t xml:space="preserve">Box art + marketing assets pack delivered (print-ready); 120-day marketing window opens</w:t>
      </w:r>
    </w:p>
    <w:p>
      <w:pPr>
        <w:numPr>
          <w:ilvl w:val="0"/>
          <w:numId w:val="1004"/>
        </w:numPr>
      </w:pPr>
      <w:r>
        <w:rPr>
          <w:b/>
          <w:bCs/>
        </w:rPr>
        <w:t xml:space="preserve">ED + 10 weeks:</w:t>
      </w:r>
      <w:r>
        <w:t xml:space="preserve"> </w:t>
      </w:r>
      <w:r>
        <w:t xml:space="preserve">IG/TikTok story posting schedule locked (per Section 9)</w:t>
      </w:r>
    </w:p>
    <w:p>
      <w:pPr>
        <w:numPr>
          <w:ilvl w:val="0"/>
          <w:numId w:val="1004"/>
        </w:numPr>
      </w:pPr>
      <w:r>
        <w:rPr>
          <w:b/>
          <w:bCs/>
        </w:rPr>
        <w:t xml:space="preserve">ED + ~25 weeks:</w:t>
      </w:r>
      <w:r>
        <w:t xml:space="preserve"> </w:t>
      </w:r>
      <w:r>
        <w:t xml:space="preserve">KS1 launch (September 22, 2026)</w:t>
      </w:r>
    </w:p>
    <w:p>
      <w:pPr>
        <w:pStyle w:val="FirstParagraph"/>
      </w:pPr>
      <w:r>
        <w:t xml:space="preserve">Day-for-day extensions apply for delayed Publisher inputs per Section 3.5.</w:t>
      </w:r>
    </w:p>
    <w:p>
      <w:pPr>
        <w:pStyle w:val="BodyText"/>
      </w:pPr>
      <w:r>
        <w:rPr>
          <w:b/>
          <w:bCs/>
        </w:rPr>
        <w:t xml:space="preserve">A5. Commission Payment Milestones</w:t>
      </w:r>
    </w:p>
    <w:p>
      <w:pPr>
        <w:numPr>
          <w:ilvl w:val="0"/>
          <w:numId w:val="1005"/>
        </w:numPr>
      </w:pPr>
      <w:r>
        <w:rPr>
          <w:b/>
          <w:bCs/>
        </w:rPr>
        <w:t xml:space="preserve">40% ($1,480)</w:t>
      </w:r>
      <w:r>
        <w:t xml:space="preserve"> </w:t>
      </w:r>
      <w:r>
        <w:t xml:space="preserve">on signature/kickoff</w:t>
      </w:r>
    </w:p>
    <w:p>
      <w:pPr>
        <w:numPr>
          <w:ilvl w:val="0"/>
          <w:numId w:val="1005"/>
        </w:numPr>
      </w:pPr>
      <w:r>
        <w:rPr>
          <w:b/>
          <w:bCs/>
        </w:rPr>
        <w:t xml:space="preserve">30% ($1,110)</w:t>
      </w:r>
      <w:r>
        <w:t xml:space="preserve"> </w:t>
      </w:r>
      <w:r>
        <w:t xml:space="preserve">on delivery of all 6 faction pieces + card back</w:t>
      </w:r>
      <w:r>
        <w:br/>
      </w:r>
      <w:r>
        <w:t xml:space="preserve">(print-ready)</w:t>
      </w:r>
    </w:p>
    <w:p>
      <w:pPr>
        <w:numPr>
          <w:ilvl w:val="0"/>
          <w:numId w:val="1005"/>
        </w:numPr>
      </w:pPr>
      <w:r>
        <w:rPr>
          <w:b/>
          <w:bCs/>
        </w:rPr>
        <w:t xml:space="preserve">30% ($1,110)</w:t>
      </w:r>
      <w:r>
        <w:t xml:space="preserve"> </w:t>
      </w:r>
      <w:r>
        <w:t xml:space="preserve">on delivery of box art + marketing pack</w:t>
      </w:r>
    </w:p>
    <w:p>
      <w:pPr>
        <w:pStyle w:val="FirstParagraph"/>
      </w:pPr>
      <w:r>
        <w:rPr>
          <w:b/>
          <w:bCs/>
        </w:rPr>
        <w:t xml:space="preserve">Game logo:</w:t>
      </w:r>
      <w:r>
        <w:t xml:space="preserve"> </w:t>
      </w:r>
      <w:r>
        <w:t xml:space="preserve">50% ($175) on scope confirmation / 50% ($175) on delivery and acceptance. Scope and final price to be confirmed in writing; $350 is the proposed rate.</w:t>
      </w:r>
    </w:p>
    <w:p>
      <w:pPr>
        <w:pStyle w:val="BodyText"/>
      </w:pPr>
      <w:r>
        <w:rPr>
          <w:b/>
          <w:bCs/>
        </w:rPr>
        <w:t xml:space="preserve">A6. Story Posting Admin (If Included)</w:t>
      </w:r>
    </w:p>
    <w:p>
      <w:pPr>
        <w:pStyle w:val="BodyText"/>
      </w:pPr>
      <w:r>
        <w:t xml:space="preserve">Schedule lock date: per the story schedule lock milestone in Exhibit A4. Deposit: $100 upon confirmation</w:t>
      </w:r>
      <w:r>
        <w:br/>
      </w:r>
      <w:r>
        <w:t xml:space="preserve">(applied to total). Pay-per-story: remaining due within 7 days after</w:t>
      </w:r>
      <w:r>
        <w:br/>
      </w:r>
      <w:r>
        <w:t xml:space="preserve">each story goes live. Make-good: repost within 7 days or refund.</w:t>
      </w:r>
    </w:p>
    <w:p>
      <w:pPr>
        <w:pStyle w:val="BodyText"/>
      </w:pPr>
      <w:r>
        <w:rPr>
          <w:b/>
          <w:bCs/>
        </w:rPr>
        <w:t xml:space="preserve">EXHIBIT B --- Trademark Notes</w:t>
      </w:r>
    </w:p>
    <w:p>
      <w:pPr>
        <w:pStyle w:val="BodyText"/>
      </w:pPr>
      <w:r>
        <w:rPr>
          <w:b/>
          <w:bCs/>
        </w:rPr>
        <w:t xml:space="preserve">B1. Trademark (Franchise Marks)</w:t>
      </w:r>
    </w:p>
    <w:p>
      <w:pPr>
        <w:pStyle w:val="BodyText"/>
      </w:pPr>
      <w:r>
        <w:t xml:space="preserve">Franchise Marks are licensed to Publisher exclusively in the Field of</w:t>
      </w:r>
      <w:r>
        <w:br/>
      </w:r>
      <w:r>
        <w:t xml:space="preserve">Use during the Term, subject to Section 5.2.</w:t>
      </w:r>
    </w:p>
    <w:p>
      <w:pPr>
        <w:pStyle w:val="BodyText"/>
      </w:pPr>
      <w:r>
        <w:rPr>
          <w:b/>
          <w:bCs/>
        </w:rPr>
        <w:t xml:space="preserve">EXHIBIT C --- Royalty Report Template</w:t>
      </w:r>
    </w:p>
    <w:p>
      <w:pPr>
        <w:pStyle w:val="BodyText"/>
      </w:pPr>
      <w:r>
        <w:rPr>
          <w:b/>
          <w:bCs/>
        </w:rPr>
        <w:t xml:space="preserve">C1. Quarterly Report Fields</w:t>
      </w:r>
    </w:p>
    <w:p>
      <w:pPr>
        <w:numPr>
          <w:ilvl w:val="0"/>
          <w:numId w:val="1006"/>
        </w:numPr>
      </w:pPr>
      <w:r>
        <w:t xml:space="preserve">Reporting period (quarter/year)</w:t>
      </w:r>
    </w:p>
    <w:p>
      <w:pPr>
        <w:numPr>
          <w:ilvl w:val="0"/>
          <w:numId w:val="1006"/>
        </w:numPr>
      </w:pPr>
      <w:r>
        <w:t xml:space="preserve">Production order date and manufacturer</w:t>
      </w:r>
    </w:p>
    <w:p>
      <w:pPr>
        <w:numPr>
          <w:ilvl w:val="0"/>
          <w:numId w:val="1006"/>
        </w:numPr>
      </w:pPr>
      <w:r>
        <w:t xml:space="preserve">SKU / product line item</w:t>
      </w:r>
    </w:p>
    <w:p>
      <w:pPr>
        <w:numPr>
          <w:ilvl w:val="0"/>
          <w:numId w:val="1006"/>
        </w:numPr>
      </w:pPr>
      <w:r>
        <w:t xml:space="preserve">KS1 Pledge Price per unit (by SKU)</w:t>
      </w:r>
    </w:p>
    <w:p>
      <w:pPr>
        <w:numPr>
          <w:ilvl w:val="0"/>
          <w:numId w:val="1006"/>
        </w:numPr>
      </w:pPr>
      <w:r>
        <w:t xml:space="preserve">Number of units ordered (by SKU)</w:t>
      </w:r>
    </w:p>
    <w:p>
      <w:pPr>
        <w:numPr>
          <w:ilvl w:val="0"/>
          <w:numId w:val="1006"/>
        </w:numPr>
      </w:pPr>
      <w:r>
        <w:t xml:space="preserve">Royalty rate (5%)</w:t>
      </w:r>
    </w:p>
    <w:p>
      <w:pPr>
        <w:numPr>
          <w:ilvl w:val="0"/>
          <w:numId w:val="1006"/>
        </w:numPr>
      </w:pPr>
      <w:r>
        <w:t xml:space="preserve">Royalty calculation (KS1 Pledge Price × units ordered × 5%)</w:t>
      </w:r>
    </w:p>
    <w:p>
      <w:pPr>
        <w:numPr>
          <w:ilvl w:val="0"/>
          <w:numId w:val="1006"/>
        </w:numPr>
      </w:pPr>
      <w:r>
        <w:t xml:space="preserve">Royalty accrued</w:t>
      </w:r>
    </w:p>
    <w:p>
      <w:pPr>
        <w:numPr>
          <w:ilvl w:val="0"/>
          <w:numId w:val="1006"/>
        </w:numPr>
      </w:pPr>
      <w:r>
        <w:t xml:space="preserve">Amount payable (subject to $50 threshold)</w:t>
      </w:r>
    </w:p>
    <w:p>
      <w:pPr>
        <w:pStyle w:val="FirstParagraph"/>
      </w:pPr>
      <w:r>
        <w:rPr>
          <w:b/>
          <w:bCs/>
        </w:rPr>
        <w:t xml:space="preserve">C2. Allocation Rules</w:t>
      </w:r>
    </w:p>
    <w:p>
      <w:pPr>
        <w:pStyle w:val="BodyText"/>
      </w:pPr>
      <w:r>
        <w:t xml:space="preserve">For production orders containing multiple SKUs, royalties are calculated</w:t>
      </w:r>
      <w:r>
        <w:br/>
      </w:r>
      <w:r>
        <w:t xml:space="preserve">separately for each SKU based on its respective KS1 Pledge Price and</w:t>
      </w:r>
      <w:r>
        <w:br/>
      </w:r>
      <w:r>
        <w:t xml:space="preserve">unit count.</w:t>
      </w:r>
    </w:p>
    <w:p>
      <w:pPr>
        <w:pStyle w:val="BodyText"/>
      </w:pPr>
      <w:r>
        <w:rPr>
          <w:b/>
          <w:bCs/>
        </w:rPr>
        <w:t xml:space="preserve">EXHIBIT D --- IP Style Guide</w:t>
      </w:r>
      <w:r>
        <w:t xml:space="preserve"> </w:t>
      </w:r>
      <w:r>
        <w:rPr>
          <w:i/>
          <w:iCs/>
        </w:rPr>
        <w:t xml:space="preserve">(to be developed collaboratively per Section 5.6.1)</w:t>
      </w:r>
    </w:p>
    <w:p>
      <w:pPr>
        <w:pStyle w:val="BodyText"/>
      </w:pPr>
      <w:r>
        <w:rPr>
          <w:b/>
          <w:bCs/>
        </w:rPr>
        <w:t xml:space="preserve">D1. Purpose</w:t>
      </w:r>
    </w:p>
    <w:p>
      <w:pPr>
        <w:pStyle w:val="BodyText"/>
      </w:pPr>
      <w:r>
        <w:t xml:space="preserve">This exhibit will contain the IP Style Guide establishing the canonical tone, vocabulary guidelines, character voice standards, and narrative boundaries for the Hamsters &amp; Monsters universe as applied to the Product. The Style Guide will be developed collaboratively by the parties within forty-five (45) days of the Effective Date.</w:t>
      </w:r>
    </w:p>
    <w:p>
      <w:pPr>
        <w:pStyle w:val="BodyText"/>
      </w:pPr>
      <w:r>
        <w:rPr>
          <w:b/>
          <w:bCs/>
        </w:rPr>
        <w:t xml:space="preserve">D2. Scope</w:t>
      </w:r>
    </w:p>
    <w:p>
      <w:pPr>
        <w:pStyle w:val="BodyText"/>
      </w:pPr>
      <w:r>
        <w:t xml:space="preserve">The IP Style Guide will address: narrative tone and voice, vocabulary do's and don'ts, character descriptions and personality guidelines, faction identity standards, canonical boundaries of the universe, and any content restrictions. Narrative elements not addressed by the IP Style Guide will be subject to the Tier 1 approval process (Section 5.6.2) until the Style Guide is amended to cover them. For the avoidance of doubt, the IP Style Guide governs how the Licensed Property may be depicted in the Product; it does not limit the scope of the Licensed Property as defined in Section 2.</w:t>
      </w:r>
    </w:p>
    <w:p>
      <w:pPr>
        <w:pStyle w:val="BodyText"/>
      </w:pPr>
      <w:r>
        <w:rPr>
          <w:b/>
          <w:bCs/>
        </w:rPr>
        <w:t xml:space="preserve">D3. Relationship to Approvals</w:t>
      </w:r>
    </w:p>
    <w:p>
      <w:pPr>
        <w:pStyle w:val="BodyText"/>
      </w:pPr>
      <w:r>
        <w:t xml:space="preserve">The tiered approval process described in Section 5.6.2 governs all narrative content decisions. Once the IP Style Guide is finalized and signed by both parties, it will be incorporated by reference into the Definitive Agreement as this Exhibit 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2026-03-03T04:22:05Z</dcterms:created>
  <dcterms:modified xsi:type="dcterms:W3CDTF">2026-03-03T04:22:05Z</dcterms:modified>
</cp:coreProperties>
</file>

<file path=docProps/custom.xml><?xml version="1.0" encoding="utf-8"?>
<Properties xmlns="http://schemas.openxmlformats.org/officeDocument/2006/custom-properties" xmlns:vt="http://schemas.openxmlformats.org/officeDocument/2006/docPropsVTypes"/>
</file>