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Hamsters &amp; Monsters — Term Sheet Guide</w:t>
      </w:r>
    </w:p>
    <w:p>
      <w:pPr>
        <w:spacing w:after="160"/>
      </w:pPr>
      <w:r>
        <w:t xml:space="preserve">A plain English walkthrough for Danny Beck</w:t>
      </w:r>
    </w:p>
    <w:p>
      <w:pPr>
        <w:spacing w:after="400"/>
      </w:pPr>
      <w:r>
        <w:t xml:space="preserve">This guide covers every section of the term sheet in everyday language so you know exactly what you’re agreeing to. This is not legal advice — you should still have your attorney review the actual term sheet. This is just a roadmap.</w:t>
      </w:r>
    </w:p>
    <w:p>
      <w:pPr>
        <w:pStyle w:val="Heading2"/>
      </w:pPr>
      <w:r>
        <w:t xml:space="preserve">Section 0 — Parties</w:t>
      </w:r>
    </w:p>
    <w:p>
      <w:pPr>
        <w:spacing w:after="160"/>
      </w:pPr>
      <w:r>
        <w:t xml:space="preserve">This is just who’s involved. Design Play Labs, LLC (“Publisher”) is the company making the game. You (“Licensor”) are the artist and owner of the Hamsters &amp; Monsters universe.</w:t>
      </w:r>
    </w:p>
    <w:p>
      <w:pPr>
        <w:pStyle w:val="Heading2"/>
      </w:pPr>
      <w:r>
        <w:t xml:space="preserve">Section 1 — Purpose</w:t>
      </w:r>
    </w:p>
    <w:p>
      <w:pPr>
        <w:spacing w:after="160"/>
      </w:pPr>
      <w:r>
        <w:t xml:space="preserve">This explains what the deal is about at a high level. There are two pieces: (1) you’re being hired to create artwork for the game, and (2) you’re licensing your Hamsters &amp; Monsters IP to Publisher so they can make and sell the card game. This deal covers only the first Kickstarter campaign (KS1). If the game is a hit and they want to do more products, that’s a separate negotiation (see Section 8).</w:t>
      </w:r>
    </w:p>
    <w:p>
      <w:pPr>
        <w:pStyle w:val="Heading2"/>
      </w:pPr>
      <w:r>
        <w:t xml:space="preserve">Section 2 — Definitions</w:t>
      </w:r>
    </w:p>
    <w:p>
      <w:pPr>
        <w:spacing w:after="160"/>
      </w:pPr>
      <w:r>
        <w:t xml:space="preserve">This section defines the key terms used throughout the document. Here are the important ones:</w:t>
      </w:r>
    </w:p>
    <w:p>
      <w:pPr>
        <w:pStyle w:val="ListParagraph"/>
        <w:numPr>
          <w:ilvl w:val="0"/>
          <w:numId w:val="2"/>
        </w:numPr>
        <w:spacing w:after="80"/>
      </w:pPr>
      <w:r>
        <w:rPr>
          <w:b/>
          <w:bCs/>
        </w:rPr>
        <w:t xml:space="preserve">Licensed Property: </w:t>
      </w:r>
      <w:r>
        <w:t xml:space="preserve">Your Hamsters &amp; Monsters universe — the characters, factions, settings, and visual elements you’ve created. This is what you’re licensing to Publisher.</w:t>
      </w:r>
    </w:p>
    <w:p>
      <w:pPr>
        <w:pStyle w:val="ListParagraph"/>
        <w:numPr>
          <w:ilvl w:val="0"/>
          <w:numId w:val="2"/>
        </w:numPr>
        <w:spacing w:after="80"/>
      </w:pPr>
      <w:r>
        <w:rPr>
          <w:b/>
          <w:bCs/>
        </w:rPr>
        <w:t xml:space="preserve">Product: </w:t>
      </w:r>
      <w:r>
        <w:t xml:space="preserve">The specific card game being made — Hamsters &amp; Monsters: Contests of Chaos (base game).</w:t>
      </w:r>
    </w:p>
    <w:p>
      <w:pPr>
        <w:pStyle w:val="ListParagraph"/>
        <w:numPr>
          <w:ilvl w:val="0"/>
          <w:numId w:val="2"/>
        </w:numPr>
        <w:spacing w:after="80"/>
      </w:pPr>
      <w:r>
        <w:rPr>
          <w:b/>
          <w:bCs/>
        </w:rPr>
        <w:t xml:space="preserve">Field of Use: </w:t>
      </w:r>
      <w:r>
        <w:t xml:space="preserve">Publisher can only use your IP for tabletop card games. Not board games, not video games, not merch, not anything else. Just card games.</w:t>
      </w:r>
    </w:p>
    <w:p>
      <w:pPr>
        <w:pStyle w:val="ListParagraph"/>
        <w:numPr>
          <w:ilvl w:val="0"/>
          <w:numId w:val="2"/>
        </w:numPr>
        <w:spacing w:after="80"/>
      </w:pPr>
      <w:r>
        <w:rPr>
          <w:b/>
          <w:bCs/>
        </w:rPr>
        <w:t xml:space="preserve">KS1: </w:t>
      </w:r>
      <w:r>
        <w:t xml:space="preserve">The first Kickstarter campaign, including the pledge manager and any late pledges.</w:t>
      </w:r>
    </w:p>
    <w:p>
      <w:pPr>
        <w:pStyle w:val="ListParagraph"/>
        <w:numPr>
          <w:ilvl w:val="0"/>
          <w:numId w:val="2"/>
        </w:numPr>
        <w:spacing w:after="80"/>
      </w:pPr>
      <w:r>
        <w:rPr>
          <w:b/>
          <w:bCs/>
        </w:rPr>
        <w:t xml:space="preserve">KS1 Pledge Price: </w:t>
      </w:r>
      <w:r>
        <w:t xml:space="preserve">The price backers pay on Kickstarter for each version of the game. This is the number your royalty is calculated on.</w:t>
      </w:r>
    </w:p>
    <w:p>
      <w:pPr>
        <w:pStyle w:val="ListParagraph"/>
        <w:numPr>
          <w:ilvl w:val="0"/>
          <w:numId w:val="2"/>
        </w:numPr>
        <w:spacing w:after="80"/>
      </w:pPr>
      <w:r>
        <w:rPr>
          <w:b/>
          <w:bCs/>
        </w:rPr>
        <w:t xml:space="preserve">Captured Gross Funding: </w:t>
      </w:r>
      <w:r>
        <w:t xml:space="preserve">The total money Publisher actually receives from Kickstarter after refunds and chargebacks, but before platform fees come out. This determines your profit-share kicker.</w:t>
      </w:r>
    </w:p>
    <w:p>
      <w:pPr>
        <w:spacing w:after="160"/>
      </w:pPr>
      <w:r>
        <w:t xml:space="preserve">All dollar amounts in the term sheet are in U.S. dollars.</w:t>
      </w:r>
    </w:p>
    <w:p>
      <w:pPr>
        <w:pStyle w:val="Heading2"/>
      </w:pPr>
      <w:r>
        <w:t xml:space="preserve">Section 3 — Commissioned Works</w:t>
      </w:r>
    </w:p>
    <w:p>
      <w:pPr>
        <w:spacing w:after="160"/>
      </w:pPr>
      <w:r>
        <w:t xml:space="preserve">This is the freelance art portion of the deal. You’re creating specific artwork listed in Exhibit A (faction pieces, card back, box art, marketing assets, game logo, and social media stories). The key points:</w:t>
      </w:r>
    </w:p>
    <w:p>
      <w:pPr>
        <w:pStyle w:val="ListParagraph"/>
        <w:numPr>
          <w:ilvl w:val="0"/>
          <w:numId w:val="2"/>
        </w:numPr>
        <w:spacing w:after="80"/>
      </w:pPr>
      <w:r>
        <w:rPr>
          <w:b/>
          <w:bCs/>
        </w:rPr>
        <w:t xml:space="preserve">Revisions: </w:t>
      </w:r>
      <w:r>
        <w:t xml:space="preserve">You get two rounds of revisions per piece. If Publisher wants to completely change direction after approving a concept, that’s new work billed separately.</w:t>
      </w:r>
    </w:p>
    <w:p>
      <w:pPr>
        <w:pStyle w:val="ListParagraph"/>
        <w:numPr>
          <w:ilvl w:val="0"/>
          <w:numId w:val="2"/>
        </w:numPr>
        <w:spacing w:after="80"/>
      </w:pPr>
      <w:r>
        <w:rPr>
          <w:b/>
          <w:bCs/>
        </w:rPr>
        <w:t xml:space="preserve">Acceptance: </w:t>
      </w:r>
      <w:r>
        <w:t xml:space="preserve">Publisher has 7 business days to review each deliverable. If they don’t respond in 7 days, it’s automatically accepted.</w:t>
      </w:r>
    </w:p>
    <w:p>
      <w:pPr>
        <w:pStyle w:val="ListParagraph"/>
        <w:numPr>
          <w:ilvl w:val="0"/>
          <w:numId w:val="2"/>
        </w:numPr>
        <w:spacing w:after="80"/>
      </w:pPr>
      <w:r>
        <w:rPr>
          <w:b/>
          <w:bCs/>
        </w:rPr>
        <w:t xml:space="preserve">Hourly add-ons: </w:t>
      </w:r>
      <w:r>
        <w:t xml:space="preserve">$50/hour for extra work, capped at 15 hours/month unless both sides agree to more.</w:t>
      </w:r>
    </w:p>
    <w:p>
      <w:pPr>
        <w:pStyle w:val="ListParagraph"/>
        <w:numPr>
          <w:ilvl w:val="0"/>
          <w:numId w:val="2"/>
        </w:numPr>
        <w:spacing w:after="80"/>
      </w:pPr>
      <w:r>
        <w:rPr>
          <w:b/>
          <w:bCs/>
        </w:rPr>
        <w:t xml:space="preserve">Delays: </w:t>
      </w:r>
      <w:r>
        <w:t xml:space="preserve">If either side causes delays, all downstream deadlines shift day-for-day. If Publisher’s delays cause the project to miss two consecutive Kickstarter launch windows, you can terminate the deal.</w:t>
      </w:r>
    </w:p>
    <w:p>
      <w:pPr>
        <w:pStyle w:val="Heading2"/>
      </w:pPr>
      <w:r>
        <w:t xml:space="preserve">Section 4 — Independent Counsel Stipend</w:t>
      </w:r>
    </w:p>
    <w:p>
      <w:pPr>
        <w:spacing w:after="160"/>
      </w:pPr>
      <w:r>
        <w:t xml:space="preserve">Publisher is giving you $750 to help cover the cost of having your own lawyer review this deal. It’s non-refundable — you keep it no matter what. Publisher may pay this before the final agreement is signed. You just need to confirm in writing that you received it.</w:t>
      </w:r>
    </w:p>
    <w:p>
      <w:pPr>
        <w:pStyle w:val="Heading2"/>
      </w:pPr>
      <w:r>
        <w:t xml:space="preserve">Section 5 — License Grant</w:t>
      </w:r>
    </w:p>
    <w:p>
      <w:pPr>
        <w:spacing w:after="160"/>
      </w:pPr>
      <w:r>
        <w:t xml:space="preserve">This is the heart of the IP licensing deal. Here’s what it covers:</w:t>
      </w:r>
    </w:p>
    <w:p>
      <w:pPr>
        <w:pStyle w:val="Heading3"/>
      </w:pPr>
      <w:r>
        <w:t xml:space="preserve">5.1 — The License</w:t>
      </w:r>
    </w:p>
    <w:p>
      <w:pPr>
        <w:spacing w:after="160"/>
      </w:pPr>
      <w:r>
        <w:t xml:space="preserve">You’re giving Publisher an exclusive, worldwide license to use your Hamsters &amp; Monsters IP to make, market, and sell the card game. “Exclusive” means you can’t license the same IP to someone else for a competing card game while this deal is active. But you keep all rights for everything else — board games, video games, merch, TV, etc.</w:t>
      </w:r>
    </w:p>
    <w:p>
      <w:pPr>
        <w:pStyle w:val="Heading3"/>
      </w:pPr>
      <w:r>
        <w:t xml:space="preserve">5.2 — Trademark License</w:t>
      </w:r>
    </w:p>
    <w:p>
      <w:pPr>
        <w:spacing w:after="160"/>
      </w:pPr>
      <w:r>
        <w:t xml:space="preserve">Publisher can use the “Hamsters &amp; Monsters” name and logo on the card game. You have approval rights over how they first use it on the box, rulebook cover, and Kickstarter page. After that, as long as they stay consistent with what you approved, they don’t need to ask again. You keep the right to register and protect the “Hamsters &amp; Monsters” trademarks; Publisher registers and protects the game-specific marks.</w:t>
      </w:r>
    </w:p>
    <w:p>
      <w:pPr>
        <w:pStyle w:val="Heading3"/>
      </w:pPr>
      <w:r>
        <w:t xml:space="preserve">5.3 — Production Modifications</w:t>
      </w:r>
    </w:p>
    <w:p>
      <w:pPr>
        <w:spacing w:after="160"/>
      </w:pPr>
      <w:r>
        <w:t xml:space="preserve">Publisher can make minor adjustments to your art for printing (color adjustments, cropping, adding text layout). They can’t change the art itself.</w:t>
      </w:r>
    </w:p>
    <w:p>
      <w:pPr>
        <w:pStyle w:val="Heading3"/>
      </w:pPr>
      <w:r>
        <w:t xml:space="preserve">5.4 — Sublicensing / Assignment</w:t>
      </w:r>
    </w:p>
    <w:p>
      <w:pPr>
        <w:spacing w:after="160"/>
      </w:pPr>
      <w:r>
        <w:t xml:space="preserve">Publisher can hire manufacturers, distributors, and other vendors without asking you. If Publisher sells the company or the game’s assets, they need your written consent to transfer the deal (which you can’t unreasonably refuse). If you transfer ownership of the Hamsters &amp; Monsters IP during the deal, the new owner has to honor the terms.</w:t>
      </w:r>
    </w:p>
    <w:p>
      <w:pPr>
        <w:pStyle w:val="Heading3"/>
      </w:pPr>
      <w:r>
        <w:t xml:space="preserve">5.5 — Sell-Off and Excess Inventory</w:t>
      </w:r>
    </w:p>
    <w:p>
      <w:pPr>
        <w:spacing w:after="160"/>
      </w:pPr>
      <w:r>
        <w:t xml:space="preserve">When the deal ends, Publisher gets 12 months to sell remaining inventory. They still owe you royalties on those sales. After the sell-off period, you get first dibs on buying any leftover inventory at cost. If you pass, Publisher has to destroy it and give you written proof.</w:t>
      </w:r>
    </w:p>
    <w:p>
      <w:pPr>
        <w:pStyle w:val="Heading3"/>
      </w:pPr>
      <w:r>
        <w:t xml:space="preserve">5.6 — Creative Control</w:t>
      </w:r>
    </w:p>
    <w:p>
      <w:pPr>
        <w:spacing w:after="160"/>
      </w:pPr>
      <w:r>
        <w:t xml:space="preserve">This protects the integrity of your universe. There are three tiers:</w:t>
      </w:r>
    </w:p>
    <w:p>
      <w:pPr>
        <w:pStyle w:val="ListParagraph"/>
        <w:numPr>
          <w:ilvl w:val="0"/>
          <w:numId w:val="2"/>
        </w:numPr>
        <w:spacing w:after="80"/>
      </w:pPr>
      <w:r>
        <w:rPr>
          <w:b/>
          <w:bCs/>
        </w:rPr>
        <w:t xml:space="preserve">Tier 1 (you approve): </w:t>
      </w:r>
      <w:r>
        <w:t xml:space="preserve">Big stuff — new characters, new factions, new lore that would become part of the H&amp;M canon. You have 7 business days to review.</w:t>
      </w:r>
    </w:p>
    <w:p>
      <w:pPr>
        <w:pStyle w:val="ListParagraph"/>
        <w:numPr>
          <w:ilvl w:val="0"/>
          <w:numId w:val="2"/>
        </w:numPr>
        <w:spacing w:after="80"/>
      </w:pPr>
      <w:r>
        <w:rPr>
          <w:b/>
          <w:bCs/>
        </w:rPr>
        <w:t xml:space="preserve">Tier 2 (you consult): </w:t>
      </w:r>
      <w:r>
        <w:t xml:space="preserve">Card flavor text, marketing copy, social media. Publisher sends you drafts 14 days before production. You give feedback; Publisher makes the final call as long as it’s consistent with the Style Guide.</w:t>
      </w:r>
    </w:p>
    <w:p>
      <w:pPr>
        <w:pStyle w:val="ListParagraph"/>
        <w:numPr>
          <w:ilvl w:val="0"/>
          <w:numId w:val="2"/>
        </w:numPr>
        <w:spacing w:after="80"/>
      </w:pPr>
      <w:r>
        <w:rPr>
          <w:b/>
          <w:bCs/>
        </w:rPr>
        <w:t xml:space="preserve">Tier 3 (no review needed): </w:t>
      </w:r>
      <w:r>
        <w:t xml:space="preserve">Game rules, component labels, instructional text. Functional stuff, not creative.</w:t>
      </w:r>
    </w:p>
    <w:p>
      <w:pPr>
        <w:spacing w:after="160"/>
      </w:pPr>
      <w:r>
        <w:t xml:space="preserve">You and Publisher will collaborate on an IP Style Guide within 45 days of signing. Until it’s done, everything goes through Tier 1 approval.</w:t>
      </w:r>
    </w:p>
    <w:p>
      <w:pPr>
        <w:pStyle w:val="Heading3"/>
      </w:pPr>
      <w:r>
        <w:t xml:space="preserve">5.7 — Marketing Assets</w:t>
      </w:r>
    </w:p>
    <w:p>
      <w:pPr>
        <w:spacing w:after="160"/>
      </w:pPr>
      <w:r>
        <w:t xml:space="preserve">You’re providing 12 pieces of existing marketing art for Publisher to use early on. This is temporary — once the commissioned artwork is delivered, Publisher switches over to the new art. You have approval rights over how the marketing assets are used in each channel.</w:t>
      </w:r>
    </w:p>
    <w:p>
      <w:r>
        <w:br w:type="page"/>
      </w:r>
    </w:p>
    <w:p>
      <w:pPr>
        <w:pStyle w:val="Heading2"/>
      </w:pPr>
      <w:r>
        <w:t xml:space="preserve">Section 6 — Money (License Economics)</w:t>
      </w:r>
    </w:p>
    <w:p>
      <w:pPr>
        <w:spacing w:after="160"/>
      </w:pPr>
      <w:r>
        <w:t xml:space="preserve">This is how you get paid beyond the commission fees.</w:t>
      </w:r>
    </w:p>
    <w:p>
      <w:pPr>
        <w:pStyle w:val="Heading3"/>
      </w:pPr>
      <w:r>
        <w:t xml:space="preserve">6.1 — Unit Royalty</w:t>
      </w:r>
    </w:p>
    <w:p>
      <w:pPr>
        <w:spacing w:after="160"/>
      </w:pPr>
      <w:r>
        <w:t xml:space="preserve">You get 5% of the KS1 pledge price for every unit Publisher orders from the manufacturer. This is important: you get paid on units ordered, not units sold. If Publisher orders 750 games but only sold 500 through Kickstarter, you get royalties on all 750. This applies to every production run and every reorder.</w:t>
      </w:r>
    </w:p>
    <w:p>
      <w:pPr>
        <w:pStyle w:val="Heading3"/>
      </w:pPr>
      <w:r>
        <w:t xml:space="preserve">6.2 — Profit-Share Kicker</w:t>
      </w:r>
    </w:p>
    <w:p>
      <w:pPr>
        <w:spacing w:after="160"/>
      </w:pPr>
      <w:r>
        <w:t xml:space="preserve">If the Kickstarter does really well, you get a bonus on top of royalties. It’s based on the total funding received:</w:t>
      </w:r>
    </w:p>
    <w:p>
      <w:pPr>
        <w:pStyle w:val="ListParagraph"/>
        <w:numPr>
          <w:ilvl w:val="0"/>
          <w:numId w:val="2"/>
        </w:numPr>
        <w:spacing w:after="80"/>
      </w:pPr>
      <w:r>
        <w:rPr>
          <w:b/>
          <w:bCs/>
        </w:rPr>
        <w:t xml:space="preserve">$50,000–$74,999: </w:t>
      </w:r>
      <w:r>
        <w:t xml:space="preserve">$1,000 bonus</w:t>
      </w:r>
    </w:p>
    <w:p>
      <w:pPr>
        <w:pStyle w:val="ListParagraph"/>
        <w:numPr>
          <w:ilvl w:val="0"/>
          <w:numId w:val="2"/>
        </w:numPr>
        <w:spacing w:after="80"/>
      </w:pPr>
      <w:r>
        <w:rPr>
          <w:b/>
          <w:bCs/>
        </w:rPr>
        <w:t xml:space="preserve">$75,000–$149,999: </w:t>
      </w:r>
      <w:r>
        <w:t xml:space="preserve">$3,000 bonus</w:t>
      </w:r>
    </w:p>
    <w:p>
      <w:pPr>
        <w:pStyle w:val="ListParagraph"/>
        <w:numPr>
          <w:ilvl w:val="0"/>
          <w:numId w:val="2"/>
        </w:numPr>
        <w:spacing w:after="80"/>
      </w:pPr>
      <w:r>
        <w:rPr>
          <w:b/>
          <w:bCs/>
        </w:rPr>
        <w:t xml:space="preserve">$150,000+: </w:t>
      </w:r>
      <w:r>
        <w:t xml:space="preserve">$6,000 bonus</w:t>
      </w:r>
    </w:p>
    <w:p>
      <w:pPr>
        <w:spacing w:after="160"/>
      </w:pPr>
      <w:r>
        <w:t xml:space="preserve">You only get the highest tier you qualify for (they don’t stack). Paid within 90 days after KS1 ends.</w:t>
      </w:r>
    </w:p>
    <w:p>
      <w:pPr>
        <w:pStyle w:val="Heading3"/>
      </w:pPr>
      <w:r>
        <w:t xml:space="preserve">6.3 — Royalty Calculation</w:t>
      </w:r>
    </w:p>
    <w:p>
      <w:pPr>
        <w:spacing w:after="160"/>
      </w:pPr>
      <w:r>
        <w:t xml:space="preserve">The formula is straightforward: KS1 Pledge Price for the SKU × number of units ordered × 5%. If a production order has multiple products (like base game and deluxe), each is calculated separately based on its own pledge price.</w:t>
      </w:r>
    </w:p>
    <w:p>
      <w:pPr>
        <w:pStyle w:val="Heading3"/>
      </w:pPr>
      <w:r>
        <w:t xml:space="preserve">6.4 — Reporting, Payment, and Audit</w:t>
      </w:r>
    </w:p>
    <w:p>
      <w:pPr>
        <w:spacing w:after="160"/>
      </w:pPr>
      <w:r>
        <w:t xml:space="preserve">Publisher sends you a quarterly report within 45 days after each quarter ends. For payment timing:</w:t>
      </w:r>
    </w:p>
    <w:p>
      <w:pPr>
        <w:pStyle w:val="ListParagraph"/>
        <w:numPr>
          <w:ilvl w:val="0"/>
          <w:numId w:val="2"/>
        </w:numPr>
        <w:spacing w:after="80"/>
      </w:pPr>
      <w:r>
        <w:rPr>
          <w:b/>
          <w:bCs/>
        </w:rPr>
        <w:t xml:space="preserve">KS1 units: </w:t>
      </w:r>
      <w:r>
        <w:t xml:space="preserve">You get paid within 30 days of Publisher receiving the Kickstarter funds.</w:t>
      </w:r>
    </w:p>
    <w:p>
      <w:pPr>
        <w:pStyle w:val="ListParagraph"/>
        <w:numPr>
          <w:ilvl w:val="0"/>
          <w:numId w:val="2"/>
        </w:numPr>
        <w:spacing w:after="80"/>
      </w:pPr>
      <w:r>
        <w:rPr>
          <w:b/>
          <w:bCs/>
        </w:rPr>
        <w:t xml:space="preserve">Extra units: </w:t>
      </w:r>
      <w:r>
        <w:t xml:space="preserve">If Publisher orders more than what backers pledged for, royalties on those units are due when Publisher receives them, paid in the next quarterly cycle.</w:t>
      </w:r>
    </w:p>
    <w:p>
      <w:pPr>
        <w:spacing w:after="160"/>
      </w:pPr>
      <w:r>
        <w:t xml:space="preserve">Minimum payout is $50 (smaller amounts roll over). If Publisher pays late, you earn 1.5% interest per month on overdue amounts. You can audit Publisher’s records once a year; if they underpaid by more than 10%, they cover the audit costs.</w:t>
      </w:r>
    </w:p>
    <w:p>
      <w:pPr>
        <w:pStyle w:val="Heading3"/>
      </w:pPr>
      <w:r>
        <w:t xml:space="preserve">6.5 — Sublicensing Consideration</w:t>
      </w:r>
    </w:p>
    <w:p>
      <w:pPr>
        <w:spacing w:after="160"/>
      </w:pPr>
      <w:r>
        <w:t xml:space="preserve">If Publisher sells or sublicenses the rights to someone else (not just selling games in the normal course of business), you get 5% of whatever Publisher receives from that deal, after reasonable transaction costs.</w:t>
      </w:r>
    </w:p>
    <w:p>
      <w:pPr>
        <w:pStyle w:val="Heading2"/>
      </w:pPr>
      <w:r>
        <w:t xml:space="preserve">Section 7 — How Long the Deal Lasts</w:t>
      </w:r>
    </w:p>
    <w:p>
      <w:pPr>
        <w:spacing w:after="160"/>
      </w:pPr>
      <w:r>
        <w:t xml:space="preserve">The license runs from signing through KS1 fulfillment plus 12 months. “Fulfillment Completion” means either shipping 95% of backer rewards, or 18 months after the KS1 campaign closes — whichever comes first. After that 12-month period, the deal is done (subject to the sell-off period). If Publisher and you want to continue, you’d negotiate a new deal.</w:t>
      </w:r>
    </w:p>
    <w:p>
      <w:pPr>
        <w:pStyle w:val="Heading3"/>
      </w:pPr>
      <w:r>
        <w:t xml:space="preserve">7.2 — Early Termination Triggers</w:t>
      </w:r>
    </w:p>
    <w:p>
      <w:pPr>
        <w:spacing w:after="160"/>
      </w:pPr>
      <w:r>
        <w:t xml:space="preserve">The license can end early if:</w:t>
      </w:r>
    </w:p>
    <w:p>
      <w:pPr>
        <w:pStyle w:val="ListParagraph"/>
        <w:numPr>
          <w:ilvl w:val="0"/>
          <w:numId w:val="2"/>
        </w:numPr>
        <w:spacing w:after="80"/>
      </w:pPr>
      <w:r>
        <w:t xml:space="preserve">Publisher doesn’t launch KS1 by the deadline (after 30 days to fix it)</w:t>
      </w:r>
    </w:p>
    <w:p>
      <w:pPr>
        <w:pStyle w:val="ListParagraph"/>
        <w:numPr>
          <w:ilvl w:val="0"/>
          <w:numId w:val="2"/>
        </w:numPr>
        <w:spacing w:after="80"/>
      </w:pPr>
      <w:r>
        <w:t xml:space="preserve">The game goes out of print for 12 straight months (after 90 days to fix it)</w:t>
      </w:r>
    </w:p>
    <w:p>
      <w:pPr>
        <w:pStyle w:val="ListParagraph"/>
        <w:numPr>
          <w:ilvl w:val="0"/>
          <w:numId w:val="2"/>
        </w:numPr>
        <w:spacing w:after="80"/>
      </w:pPr>
      <w:r>
        <w:t xml:space="preserve">Publisher stops paying or reporting and doesn’t fix it within 45 days</w:t>
      </w:r>
    </w:p>
    <w:p>
      <w:pPr>
        <w:pStyle w:val="ListParagraph"/>
        <w:numPr>
          <w:ilvl w:val="0"/>
          <w:numId w:val="2"/>
        </w:numPr>
        <w:spacing w:after="80"/>
      </w:pPr>
      <w:r>
        <w:t xml:space="preserve">Publisher goes bankrupt</w:t>
      </w:r>
    </w:p>
    <w:p>
      <w:pPr>
        <w:pStyle w:val="Heading3"/>
      </w:pPr>
      <w:r>
        <w:t xml:space="preserve">7.3 — If the Kickstarter Fails</w:t>
      </w:r>
    </w:p>
    <w:p>
      <w:pPr>
        <w:spacing w:after="160"/>
      </w:pPr>
      <w:r>
        <w:t xml:space="preserve">If KS1 doesn’t fund or gets cancelled, the license ends automatically. You keep all commission payments for work you’ve already done. No royalties are owed. If Publisher wants to try again later, you’d both need to agree to new terms in writing.</w:t>
      </w:r>
    </w:p>
    <w:p>
      <w:pPr>
        <w:pStyle w:val="Heading2"/>
      </w:pPr>
      <w:r>
        <w:t xml:space="preserve">Section 8 — Right of First Negotiation</w:t>
      </w:r>
    </w:p>
    <w:p>
      <w:pPr>
        <w:spacing w:after="160"/>
      </w:pPr>
      <w:r>
        <w:t xml:space="preserve">If either side wants to do more card games with the H&amp;M universe (expansions, new games, etc.), they have to talk to the other party first and negotiate exclusively for 60 days before going to anyone else. Neither side is obligated to make a deal — it just guarantees you both get a first look.</w:t>
      </w:r>
    </w:p>
    <w:p>
      <w:pPr>
        <w:pStyle w:val="Heading2"/>
      </w:pPr>
      <w:r>
        <w:t xml:space="preserve">Section 9 — Social Media Stories</w:t>
      </w:r>
    </w:p>
    <w:p>
      <w:pPr>
        <w:spacing w:after="160"/>
      </w:pPr>
      <w:r>
        <w:t xml:space="preserve">If included, you’ll post at least 10 Instagram/TikTok stories during the 10-week lead-up to KS1 at $50 each. The schedule gets locked in advance. If a story doesn’t go up as planned, you have 7 days to repost or refund that placement.</w:t>
      </w:r>
    </w:p>
    <w:p>
      <w:pPr>
        <w:pStyle w:val="Heading2"/>
      </w:pPr>
      <w:r>
        <w:t xml:space="preserve">Section 10 — Credits and Portfolio</w:t>
      </w:r>
    </w:p>
    <w:p>
      <w:pPr>
        <w:spacing w:after="160"/>
      </w:pPr>
      <w:r>
        <w:t xml:space="preserve">Publisher will credit you as artist and IP creator wherever it’s customary (on the box, in the rulebook, on Kickstarter, etc.). You can show the artwork in your portfolio once it’s been publicly revealed.</w:t>
      </w:r>
    </w:p>
    <w:p>
      <w:pPr>
        <w:pStyle w:val="Heading2"/>
      </w:pPr>
      <w:r>
        <w:t xml:space="preserve">Section 11 — Who Owns What</w:t>
      </w:r>
    </w:p>
    <w:p>
      <w:pPr>
        <w:spacing w:after="160"/>
      </w:pPr>
      <w:r>
        <w:t xml:space="preserve">This is critical:</w:t>
      </w:r>
    </w:p>
    <w:p>
      <w:pPr>
        <w:pStyle w:val="ListParagraph"/>
        <w:numPr>
          <w:ilvl w:val="0"/>
          <w:numId w:val="2"/>
        </w:numPr>
        <w:spacing w:after="80"/>
      </w:pPr>
      <w:r>
        <w:rPr>
          <w:b/>
          <w:bCs/>
        </w:rPr>
        <w:t xml:space="preserve">You own: </w:t>
      </w:r>
      <w:r>
        <w:t xml:space="preserve">The Hamsters &amp; Monsters universe, characters, lore, and all the Franchise Marks. This never changes.</w:t>
      </w:r>
    </w:p>
    <w:p>
      <w:pPr>
        <w:pStyle w:val="ListParagraph"/>
        <w:numPr>
          <w:ilvl w:val="0"/>
          <w:numId w:val="2"/>
        </w:numPr>
        <w:spacing w:after="80"/>
      </w:pPr>
      <w:r>
        <w:rPr>
          <w:b/>
          <w:bCs/>
        </w:rPr>
        <w:t xml:space="preserve">Publisher owns: </w:t>
      </w:r>
      <w:r>
        <w:t xml:space="preserve">The game rules, game mechanics, and any content they create that isn’t part of your IP. Publisher also owns the game-specific trademarks (like the game title logo).</w:t>
      </w:r>
    </w:p>
    <w:p>
      <w:pPr>
        <w:pStyle w:val="ListParagraph"/>
        <w:numPr>
          <w:ilvl w:val="0"/>
          <w:numId w:val="2"/>
        </w:numPr>
        <w:spacing w:after="80"/>
      </w:pPr>
      <w:r>
        <w:rPr>
          <w:b/>
          <w:bCs/>
        </w:rPr>
        <w:t xml:space="preserve">Game logo: </w:t>
      </w:r>
      <w:r>
        <w:t xml:space="preserve">This is the one exception. The game logo is treated as “work made for hire,” meaning Publisher owns it. But if the deal ends before KS1 launches, the logo comes back to you (see Section 12).</w:t>
      </w:r>
    </w:p>
    <w:p>
      <w:pPr>
        <w:pStyle w:val="ListParagraph"/>
        <w:numPr>
          <w:ilvl w:val="0"/>
          <w:numId w:val="2"/>
        </w:numPr>
        <w:spacing w:after="80"/>
      </w:pPr>
      <w:r>
        <w:rPr>
          <w:b/>
          <w:bCs/>
        </w:rPr>
        <w:t xml:space="preserve">Your warranties: </w:t>
      </w:r>
      <w:r>
        <w:t xml:space="preserve">You’re confirming that you actually own the H&amp;M IP, that it doesn’t rip off anyone else’s work, and that everything you create for this project is original with no stolen assets.</w:t>
      </w:r>
    </w:p>
    <w:p>
      <w:pPr>
        <w:pStyle w:val="Heading2"/>
      </w:pPr>
      <w:r>
        <w:t xml:space="preserve">Section 12 — Termination</w:t>
      </w:r>
    </w:p>
    <w:p>
      <w:pPr>
        <w:spacing w:after="160"/>
      </w:pPr>
      <w:r>
        <w:t xml:space="preserve">Three scenarios:</w:t>
      </w:r>
    </w:p>
    <w:p>
      <w:pPr>
        <w:pStyle w:val="ListParagraph"/>
        <w:numPr>
          <w:ilvl w:val="0"/>
          <w:numId w:val="2"/>
        </w:numPr>
        <w:spacing w:after="80"/>
      </w:pPr>
      <w:r>
        <w:rPr>
          <w:b/>
          <w:bCs/>
        </w:rPr>
        <w:t xml:space="preserve">Publisher walks away (convenience): </w:t>
      </w:r>
      <w:r>
        <w:t xml:space="preserve">Publisher can end the deal for any reason with 120 days’ notice, but not until after fulfillment is complete. The sell-off period and royalties still apply.</w:t>
      </w:r>
    </w:p>
    <w:p>
      <w:pPr>
        <w:pStyle w:val="ListParagraph"/>
        <w:numPr>
          <w:ilvl w:val="0"/>
          <w:numId w:val="2"/>
        </w:numPr>
        <w:spacing w:after="80"/>
      </w:pPr>
      <w:r>
        <w:rPr>
          <w:b/>
          <w:bCs/>
        </w:rPr>
        <w:t xml:space="preserve">Pre-launch termination: </w:t>
      </w:r>
      <w:r>
        <w:t xml:space="preserve">If the deal ends before KS1 launches (for any reason), all artwork — including the game logo — reverts to you. You keep commission payments for delivered work. You refund payments for work not yet delivered.</w:t>
      </w:r>
    </w:p>
    <w:p>
      <w:pPr>
        <w:pStyle w:val="ListParagraph"/>
        <w:numPr>
          <w:ilvl w:val="0"/>
          <w:numId w:val="2"/>
        </w:numPr>
        <w:spacing w:after="80"/>
      </w:pPr>
      <w:r>
        <w:rPr>
          <w:b/>
          <w:bCs/>
        </w:rPr>
        <w:t xml:space="preserve">Material breach: </w:t>
      </w:r>
      <w:r>
        <w:t xml:space="preserve">Either side can terminate if the other breaks the deal and doesn’t fix it within 30 days of written notice.</w:t>
      </w:r>
    </w:p>
    <w:p>
      <w:pPr>
        <w:pStyle w:val="Heading2"/>
      </w:pPr>
      <w:r>
        <w:t xml:space="preserve">Section 13 — Independent Contractor</w:t>
      </w:r>
    </w:p>
    <w:p>
      <w:pPr>
        <w:spacing w:after="160"/>
      </w:pPr>
      <w:r>
        <w:t xml:space="preserve">You’re not an employee of Publisher. You’re a freelancer. You handle your own taxes, insurance, and benefits. Publisher will send you a 1099 at tax time.</w:t>
      </w:r>
    </w:p>
    <w:p>
      <w:pPr>
        <w:pStyle w:val="Heading2"/>
      </w:pPr>
      <w:r>
        <w:t xml:space="preserve">Section 14 — Confidentiality</w:t>
      </w:r>
    </w:p>
    <w:p>
      <w:pPr>
        <w:spacing w:after="160"/>
      </w:pPr>
      <w:r>
        <w:t xml:space="preserve">Both sides agree to keep the deal terms and any private business information confidential. The main exceptions are: information that’s already public, things you already knew, things you developed independently, or disclosures required by law. This confidentiality lasts for two years after the deal ends.</w:t>
      </w:r>
    </w:p>
    <w:p>
      <w:pPr>
        <w:pStyle w:val="Heading2"/>
      </w:pPr>
      <w:r>
        <w:t xml:space="preserve">Section 15 — Notices</w:t>
      </w:r>
    </w:p>
    <w:p>
      <w:pPr>
        <w:spacing w:after="160"/>
      </w:pPr>
      <w:r>
        <w:t xml:space="preserve">Any official communication — approvals, notices, consents — has to be in writing via email. A verbal “sure, that’s fine” doesn’t count. This protects both sides by making sure there’s always a paper trail.</w:t>
      </w:r>
    </w:p>
    <w:p>
      <w:pPr>
        <w:pStyle w:val="Heading2"/>
      </w:pPr>
      <w:r>
        <w:t xml:space="preserve">Section 16 — Non-Binding / Governing Law</w:t>
      </w:r>
    </w:p>
    <w:p>
      <w:pPr>
        <w:spacing w:after="160"/>
      </w:pPr>
      <w:r>
        <w:t xml:space="preserve">The term sheet itself is not a binding contract. It’s a handshake document that outlines the deal you’re both agreeing to negotiate into a final, binding Definitive Agreement. If there’s ever a dispute, it’ll be handled through binding arbitration in Maricopa County, Arizona, under Arizona law.</w:t>
      </w:r>
    </w:p>
    <w:p>
      <w:r>
        <w:br w:type="page"/>
      </w:r>
    </w:p>
    <w:p>
      <w:pPr>
        <w:pStyle w:val="Heading2"/>
      </w:pPr>
      <w:r>
        <w:t xml:space="preserve">Exhibit A — Deliverables, Schedule, and Payments</w:t>
      </w:r>
    </w:p>
    <w:p>
      <w:pPr>
        <w:spacing w:after="160"/>
      </w:pPr>
      <w:r>
        <w:t xml:space="preserve">This is the detailed breakdown of the artwork you’re creating, when it’s due, and how you get paid.</w:t>
      </w:r>
    </w:p>
    <w:p>
      <w:pPr>
        <w:pStyle w:val="ListParagraph"/>
        <w:numPr>
          <w:ilvl w:val="0"/>
          <w:numId w:val="2"/>
        </w:numPr>
        <w:spacing w:after="80"/>
      </w:pPr>
      <w:r>
        <w:rPr>
          <w:b/>
          <w:bCs/>
        </w:rPr>
        <w:t xml:space="preserve">Deliverables: </w:t>
      </w:r>
      <w:r>
        <w:t xml:space="preserve">6 faction pieces ($350 each), 1 card back ($350), box art ($750), marketing assets pack ($500 cap), game logo ($350 proposed), and 10+ social media stories ($50 each).</w:t>
      </w:r>
    </w:p>
    <w:p>
      <w:pPr>
        <w:pStyle w:val="ListParagraph"/>
        <w:numPr>
          <w:ilvl w:val="0"/>
          <w:numId w:val="2"/>
        </w:numPr>
        <w:spacing w:after="80"/>
      </w:pPr>
      <w:r>
        <w:rPr>
          <w:b/>
          <w:bCs/>
        </w:rPr>
        <w:t xml:space="preserve">Schedule: </w:t>
      </w:r>
      <w:r>
        <w:t xml:space="preserve">Everything is measured from the Effective Date (when the final agreement is signed). Marketing assets are due in week 1, faction pieces and card back by week 4, box art and marketing pack by week 8, story schedule locked by week 10, KS1 launch around week 25.</w:t>
      </w:r>
    </w:p>
    <w:p>
      <w:pPr>
        <w:pStyle w:val="ListParagraph"/>
        <w:numPr>
          <w:ilvl w:val="0"/>
          <w:numId w:val="2"/>
        </w:numPr>
        <w:spacing w:after="80"/>
      </w:pPr>
      <w:r>
        <w:rPr>
          <w:b/>
          <w:bCs/>
        </w:rPr>
        <w:t xml:space="preserve">Payment milestones: </w:t>
      </w:r>
      <w:r>
        <w:t xml:space="preserve">40% ($1,480) on kickoff, 30% ($1,110) when faction pieces and card back are delivered, 30% ($1,110) when box art and marketing pack are delivered. Game logo is paid separately (50/50 split). Stories are paid through Exhibit A6 (deposit + per-story).</w:t>
      </w:r>
    </w:p>
    <w:p>
      <w:pPr>
        <w:spacing w:after="160"/>
      </w:pPr>
      <w:r>
        <w:t xml:space="preserve">If the final agreement is signed after March 31, 2026, the launch window automatically shifts to spring 2027.</w:t>
      </w:r>
    </w:p>
    <w:p>
      <w:pPr>
        <w:pStyle w:val="Heading2"/>
      </w:pPr>
      <w:r>
        <w:t xml:space="preserve">Exhibit B — Trademark Notes</w:t>
      </w:r>
    </w:p>
    <w:p>
      <w:pPr>
        <w:spacing w:after="160"/>
      </w:pPr>
      <w:r>
        <w:t xml:space="preserve">Confirms that the Hamsters &amp; Monsters trademarks are licensed exclusively to Publisher for card games during the term.</w:t>
      </w:r>
    </w:p>
    <w:p>
      <w:pPr>
        <w:pStyle w:val="Heading2"/>
      </w:pPr>
      <w:r>
        <w:t xml:space="preserve">Exhibit C — Royalty Report Template</w:t>
      </w:r>
    </w:p>
    <w:p>
      <w:pPr>
        <w:spacing w:after="160"/>
      </w:pPr>
      <w:r>
        <w:t xml:space="preserve">This is the format Publisher will use for quarterly royalty reports. It tracks production orders, units ordered by SKU, the KS1 Pledge Price for each, and the royalty calculation. This is how you verify you’re getting paid correctly.</w:t>
      </w:r>
    </w:p>
    <w:p>
      <w:pPr>
        <w:pStyle w:val="Heading2"/>
      </w:pPr>
      <w:r>
        <w:t xml:space="preserve">Exhibit D — IP Style Guide</w:t>
      </w:r>
    </w:p>
    <w:p>
      <w:pPr>
        <w:spacing w:after="160"/>
      </w:pPr>
      <w:r>
        <w:t xml:space="preserve">This will be created collaboratively within 45 days of signing. It’ll establish the rules for how your universe is portrayed in the game — tone, character voices, what’s in-canon and what’s not. Until it’s done, Publisher needs your approval on all narrative content.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2026-03-02T04:24:29.215Z</dcterms:created>
  <dcterms:modified xsi:type="dcterms:W3CDTF">2026-03-02T04:24:29.216Z</dcterms:modified>
</cp:coreProperties>
</file>

<file path=docProps/custom.xml><?xml version="1.0" encoding="utf-8"?>
<Properties xmlns="http://schemas.openxmlformats.org/officeDocument/2006/custom-properties" xmlns:vt="http://schemas.openxmlformats.org/officeDocument/2006/docPropsVTypes"/>
</file>