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Hamsters &amp; Monsters — Danny Beck Deal Term Sheet</w:t>
      </w:r>
    </w:p>
    <w:p>
      <w:pPr>
        <w:spacing w:after="60"/>
        <w:jc w:val="center"/>
      </w:pPr>
      <w:r>
        <w:rPr>
          <w:b/>
          <w:bCs/>
          <w:color w:val="555555"/>
          <w:sz w:val="24"/>
          <w:szCs w:val="24"/>
        </w:rPr>
        <w:t xml:space="preserve">KS1 Commission + Exclusive License</w:t>
      </w:r>
    </w:p>
    <w:p>
      <w:pPr>
        <w:spacing w:after="360"/>
        <w:jc w:val="center"/>
      </w:pPr>
      <w:r>
        <w:rPr>
          <w:i/>
          <w:iCs/>
          <w:color w:val="777777"/>
          <w:sz w:val="20"/>
          <w:szCs w:val="20"/>
        </w:rPr>
        <w:t xml:space="preserve">Negotiation Draft — Non-Binding except as expressly stated</w:t>
      </w:r>
    </w:p>
    <w:p>
      <w:pPr>
        <w:pStyle w:val="Heading1"/>
        <w:spacing w:before="300" w:after="120"/>
      </w:pPr>
      <w:r>
        <w:rPr>
          <w:b/>
          <w:bCs/>
        </w:rPr>
        <w:t xml:space="preserve">0. Parties</w:t>
      </w:r>
    </w:p>
    <w:p>
      <w:r>
        <w:rPr>
          <w:b/>
          <w:bCs/>
        </w:rPr>
        <w:t xml:space="preserve">Publisher / Licensee: </w:t>
      </w:r>
      <w:r>
        <w:t xml:space="preserve">Design Play Labs, LLC (“Publisher”)</w:t>
      </w:r>
    </w:p>
    <w:p>
      <w:r>
        <w:rPr>
          <w:b/>
          <w:bCs/>
        </w:rPr>
        <w:t xml:space="preserve">Artist / IP Owner / Licensor: </w:t>
      </w:r>
      <w:r>
        <w:t xml:space="preserve">Danny Beck (“Licensor”)</w:t>
      </w:r>
    </w:p>
    <w:p>
      <w:pPr>
        <w:pStyle w:val="Heading1"/>
        <w:spacing w:before="300" w:after="120"/>
      </w:pPr>
      <w:r>
        <w:rPr>
          <w:b/>
          <w:bCs/>
        </w:rPr>
        <w:t xml:space="preserve">1. Purpose</w:t>
      </w:r>
    </w:p>
    <w:p>
      <w:r>
        <w:t xml:space="preserve">This term sheet summarizes the business terms for a definitive </w:t>
      </w:r>
      <w:r>
        <w:rPr>
          <w:b/>
          <w:bCs/>
        </w:rPr>
        <w:t xml:space="preserve">Commission Agreement + Exclusive License Agreement</w:t>
      </w:r>
      <w:r>
        <w:t xml:space="preserve"> covering (i) commissioned creative services and (ii) an exclusive, field-limited license to the </w:t>
      </w:r>
      <w:r>
        <w:rPr>
          <w:b/>
          <w:bCs/>
        </w:rPr>
        <w:t xml:space="preserve">Hamsters &amp; Monsters</w:t>
      </w:r>
      <w:r>
        <w:t xml:space="preserve"> universe IP for use in a tabletop card game (the “Definitive Agreement”). This term sheet covers </w:t>
      </w:r>
      <w:r>
        <w:rPr>
          <w:b/>
          <w:bCs/>
        </w:rPr>
        <w:t xml:space="preserve">KS1 only</w:t>
      </w:r>
      <w:r>
        <w:t xml:space="preserve">; future products are addressed solely through a right of first negotiation (Section 8).</w:t>
      </w:r>
    </w:p>
    <w:p>
      <w:pPr>
        <w:pStyle w:val="Heading1"/>
        <w:spacing w:before="300" w:after="120"/>
      </w:pPr>
      <w:r>
        <w:rPr>
          <w:b/>
          <w:bCs/>
        </w:rPr>
        <w:t xml:space="preserve">2. Definitions</w:t>
      </w:r>
    </w:p>
    <w:p>
      <w:pPr>
        <w:spacing w:before="120" w:after="60"/>
      </w:pPr>
      <w:r>
        <w:rPr>
          <w:b/>
          <w:bCs/>
        </w:rPr>
        <w:t xml:space="preserve">“Licensed Property”</w:t>
      </w:r>
      <w:r>
        <w:t xml:space="preserve"> means Licensor’s pre-existing Hamsters &amp; Monsters universe IP as listed in Exhibit B (Canon List), plus any additional items expressly agreed in writing.</w:t>
      </w:r>
    </w:p>
    <w:p>
      <w:pPr>
        <w:spacing w:before="120" w:after="60"/>
      </w:pPr>
      <w:r>
        <w:rPr>
          <w:b/>
          <w:bCs/>
        </w:rPr>
        <w:t xml:space="preserve">“Product”</w:t>
      </w:r>
      <w:r>
        <w:t xml:space="preserve"> means Hamsters &amp; Monsters: Untitled Card Game (base game).</w:t>
      </w:r>
    </w:p>
    <w:p>
      <w:pPr>
        <w:spacing w:before="120" w:after="60"/>
      </w:pPr>
      <w:r>
        <w:rPr>
          <w:b/>
          <w:bCs/>
        </w:rPr>
        <w:t xml:space="preserve">“Field of Use”</w:t>
      </w:r>
      <w:r>
        <w:t xml:space="preserve"> means tabletop game products (including cards, packaging, rules) and related marketing for the Product. All other fields are excluded unless agreed in writing.</w:t>
      </w:r>
    </w:p>
    <w:p>
      <w:pPr>
        <w:spacing w:before="120" w:after="60"/>
      </w:pPr>
      <w:r>
        <w:rPr>
          <w:b/>
          <w:bCs/>
        </w:rPr>
        <w:t xml:space="preserve">“KS1”</w:t>
      </w:r>
      <w:r>
        <w:t xml:space="preserve"> means the first crowdfunding campaign for the Product, including pledge manager and late pledges attributable to KS1.</w:t>
      </w:r>
    </w:p>
    <w:p>
      <w:pPr>
        <w:spacing w:before="120" w:after="60"/>
      </w:pPr>
      <w:r>
        <w:rPr>
          <w:b/>
          <w:bCs/>
        </w:rPr>
        <w:t xml:space="preserve">“Net Receipts”</w:t>
      </w:r>
      <w:r>
        <w:t xml:space="preserve"> means cash actually received by Publisher attributable to the Product, less Kickstarter/platform fees, payment-processing fees, and refunds/chargebacks. Excludes customer-paid shipping, taxes/VAT, and pass-through charges.</w:t>
      </w:r>
    </w:p>
    <w:p>
      <w:pPr>
        <w:spacing w:before="120" w:after="60"/>
      </w:pPr>
      <w:r>
        <w:rPr>
          <w:b/>
          <w:bCs/>
        </w:rPr>
        <w:t xml:space="preserve">“Franchise Marks”</w:t>
      </w:r>
      <w:r>
        <w:t xml:space="preserve"> means the trademarks, logos, and trade dress associated with “Hamsters &amp; Monsters” as owned by Licensor.</w:t>
      </w:r>
    </w:p>
    <w:p>
      <w:pPr>
        <w:spacing w:before="120" w:after="60"/>
      </w:pPr>
      <w:r>
        <w:rPr>
          <w:b/>
          <w:bCs/>
        </w:rPr>
        <w:t xml:space="preserve">“Product Marks”</w:t>
      </w:r>
      <w:r>
        <w:t xml:space="preserve"> means trademarks, logos, and trade dress created by Publisher to identify the Product (e.g., the game title and logo), excluding Franchise Marks.</w:t>
      </w:r>
    </w:p>
    <w:p>
      <w:pPr>
        <w:spacing w:before="120" w:after="60"/>
      </w:pPr>
      <w:r>
        <w:rPr>
          <w:b/>
          <w:bCs/>
        </w:rPr>
        <w:t xml:space="preserve">“Captured Gross Funding”</w:t>
      </w:r>
      <w:r>
        <w:t xml:space="preserve"> means the gross amount of funds actually received by Publisher from Kickstarter and any pledge manager/late-pledge platform for KS1, less refunds and chargebacks (before deducting platform and processing fees).</w:t>
      </w:r>
    </w:p>
    <w:p>
      <w:pPr>
        <w:spacing w:before="120" w:after="60"/>
      </w:pPr>
      <w:r>
        <w:rPr>
          <w:b/>
          <w:bCs/>
        </w:rPr>
        <w:t xml:space="preserve">“Term”</w:t>
      </w:r>
      <w:r>
        <w:t xml:space="preserve"> means the term of the license as described in Section 7.</w:t>
      </w:r>
    </w:p>
    <w:p>
      <w:pPr>
        <w:spacing w:before="120" w:after="60"/>
      </w:pPr>
      <w:r>
        <w:rPr>
          <w:b/>
          <w:bCs/>
        </w:rPr>
        <w:t xml:space="preserve">“Effective Date”</w:t>
      </w:r>
      <w:r>
        <w:t xml:space="preserve"> means the date the Definitive Agreement is executed by both parties.</w:t>
      </w:r>
    </w:p>
    <w:p>
      <w:pPr>
        <w:pStyle w:val="Heading1"/>
        <w:spacing w:before="300" w:after="120"/>
      </w:pPr>
      <w:r>
        <w:rPr>
          <w:b/>
          <w:bCs/>
        </w:rPr>
        <w:t xml:space="preserve">3. Commissioned Works</w:t>
      </w:r>
    </w:p>
    <w:p>
      <w:r>
        <w:t xml:space="preserve">Licensor will create the deliverables listed in Exhibit A for the fixed fees stated there, plus any approved hourly work under Section 3.4.</w:t>
      </w:r>
    </w:p>
    <w:p>
      <w:pPr>
        <w:pStyle w:val="Heading2"/>
        <w:spacing w:before="300" w:after="120"/>
      </w:pPr>
      <w:r>
        <w:rPr>
          <w:b/>
          <w:bCs/>
        </w:rPr>
        <w:t xml:space="preserve">3.1 Revisions</w:t>
      </w:r>
    </w:p>
    <w:p>
      <w:r>
        <w:rPr>
          <w:b/>
          <w:bCs/>
        </w:rPr>
        <w:t xml:space="preserve">Two (2) rounds per deliverable</w:t>
      </w:r>
      <w:r>
        <w:t xml:space="preserve"> (batch feedback preferred). A “revision” means changes to the same approved direction—not re-concepting. Material change in direction is new scope billed hourly or separately scoped.</w:t>
      </w:r>
    </w:p>
    <w:p>
      <w:pPr>
        <w:pStyle w:val="Heading2"/>
        <w:spacing w:before="300" w:after="120"/>
      </w:pPr>
      <w:r>
        <w:rPr>
          <w:b/>
          <w:bCs/>
        </w:rPr>
        <w:t xml:space="preserve">3.2 Delivery / Acceptance</w:t>
      </w:r>
    </w:p>
    <w:p>
      <w:r>
        <w:t xml:space="preserve">Delivery to shared folder per Exhibit A specs. Publisher has seven (7) business days to accept or provide one consolidated revision list; no response within 7 business days is deemed accepted.</w:t>
      </w:r>
    </w:p>
    <w:p>
      <w:pPr>
        <w:pStyle w:val="Heading2"/>
        <w:spacing w:before="300" w:after="120"/>
      </w:pPr>
      <w:r>
        <w:rPr>
          <w:b/>
          <w:bCs/>
        </w:rPr>
        <w:t xml:space="preserve">3.3 Payment</w:t>
      </w:r>
    </w:p>
    <w:p>
      <w:r>
        <w:t xml:space="preserve">Commission payment milestones are set forth in Exhibit A.</w:t>
      </w:r>
    </w:p>
    <w:p>
      <w:pPr>
        <w:pStyle w:val="Heading2"/>
        <w:spacing w:before="300" w:after="120"/>
      </w:pPr>
      <w:r>
        <w:rPr>
          <w:b/>
          <w:bCs/>
        </w:rPr>
        <w:t xml:space="preserve">3.4 Hourly Add-Ons</w:t>
      </w:r>
    </w:p>
    <w:p>
      <w:r>
        <w:rPr>
          <w:b/>
          <w:bCs/>
        </w:rPr>
        <w:t xml:space="preserve">$50/hour</w:t>
      </w:r>
      <w:r>
        <w:t xml:space="preserve"> with prior written approval. Cap: </w:t>
      </w:r>
      <w:r>
        <w:rPr>
          <w:b/>
          <w:bCs/>
        </w:rPr>
        <w:t xml:space="preserve">15 hours/month</w:t>
      </w:r>
      <w:r>
        <w:t xml:space="preserve"> without separate written approval.</w:t>
      </w:r>
    </w:p>
    <w:p>
      <w:pPr>
        <w:pStyle w:val="Heading1"/>
        <w:spacing w:before="300" w:after="120"/>
      </w:pPr>
      <w:r>
        <w:rPr>
          <w:b/>
          <w:bCs/>
        </w:rPr>
        <w:t xml:space="preserve">4. Independent Counsel Stipend</w:t>
      </w:r>
    </w:p>
    <w:p>
      <w:r>
        <w:t xml:space="preserve">Publisher will pay Licensor </w:t>
      </w:r>
      <w:r>
        <w:rPr>
          <w:b/>
          <w:bCs/>
        </w:rPr>
        <w:t xml:space="preserve">$750</w:t>
      </w:r>
      <w:r>
        <w:t xml:space="preserve"> upon execution of the Definitive Agreement. Non-refundable, non-recoupable, and does not offset any other compensation.</w:t>
      </w:r>
    </w:p>
    <w:p>
      <w:pPr>
        <w:pStyle w:val="Heading1"/>
        <w:spacing w:before="300" w:after="120"/>
      </w:pPr>
      <w:r>
        <w:rPr>
          <w:b/>
          <w:bCs/>
        </w:rPr>
        <w:t xml:space="preserve">5. License Grant</w:t>
      </w:r>
    </w:p>
    <w:p>
      <w:pPr>
        <w:pStyle w:val="Heading2"/>
        <w:spacing w:before="300" w:after="120"/>
      </w:pPr>
      <w:r>
        <w:rPr>
          <w:b/>
          <w:bCs/>
        </w:rPr>
        <w:t xml:space="preserve">5.1 Grant</w:t>
      </w:r>
    </w:p>
    <w:p>
      <w:r>
        <w:t xml:space="preserve">Licensor grants Publisher an exclusive, worldwide license to use the Licensed Property (and Franchise Marks per Section 5.2) solely to develop, manufacture, market, sell, and distribute the Product in the Field of Use during the Term.</w:t>
      </w:r>
    </w:p>
    <w:p>
      <w:pPr>
        <w:pStyle w:val="Heading2"/>
        <w:spacing w:before="300" w:after="120"/>
      </w:pPr>
      <w:r>
        <w:rPr>
          <w:b/>
          <w:bCs/>
        </w:rPr>
        <w:t xml:space="preserve">5.2 Trademark License (Franchise Marks)</w:t>
      </w:r>
    </w:p>
    <w:p>
      <w:r>
        <w:t xml:space="preserve">Licensor grants Publisher an exclusive, worldwide license during the Term to use the Franchise Marks solely in connection with the Product in the Field of Use. No rights are granted for any other field (apparel/merch, toys, apps/video games, film/TV, publishing, or other derivatives) unless agreed in writing.</w:t>
      </w:r>
    </w:p>
    <w:p>
      <w:pPr>
        <w:pStyle w:val="Heading2"/>
        <w:spacing w:before="300" w:after="120"/>
      </w:pPr>
      <w:r>
        <w:rPr>
          <w:b/>
          <w:bCs/>
        </w:rPr>
        <w:t xml:space="preserve">5.2.1 Quality Control</w:t>
      </w:r>
    </w:p>
    <w:p>
      <w:r>
        <w:t xml:space="preserve">Publisher will use the Franchise Marks consistent with reasonable brand-integrity standards. Licensor may review and approve Publisher’s first public use of the Franchise Marks on (i) the Product box front, (ii) the rulebook cover, and (iii) the Kickstarter campaign page header (approval not to be unreasonably withheld). Licensor will respond within ten (10) business days; no response is deemed approved. Subsequent uses materially consistent with approved uses are deemed approved.</w:t>
      </w:r>
    </w:p>
    <w:p>
      <w:pPr>
        <w:pStyle w:val="Heading2"/>
        <w:spacing w:before="300" w:after="120"/>
      </w:pPr>
      <w:r>
        <w:rPr>
          <w:b/>
          <w:bCs/>
        </w:rPr>
        <w:t xml:space="preserve">5.2.2 Registration &amp; Filing</w:t>
      </w:r>
    </w:p>
    <w:p>
      <w:r>
        <w:t xml:space="preserve">Licensor has the sole right to register and maintain Franchise Marks (at Licensor’s expense). Publisher has the sole right to register and maintain Product Marks (at Publisher’s expense). Each party will reasonably cooperate at the requesting party’s expense.</w:t>
      </w:r>
    </w:p>
    <w:p>
      <w:pPr>
        <w:pStyle w:val="Heading2"/>
        <w:spacing w:before="300" w:after="120"/>
      </w:pPr>
      <w:r>
        <w:rPr>
          <w:b/>
          <w:bCs/>
        </w:rPr>
        <w:t xml:space="preserve">5.3 Permitted Production Modifications</w:t>
      </w:r>
    </w:p>
    <w:p>
      <w:r>
        <w:t xml:space="preserve">Publisher may crop/resize, adjust color for print consistency, and add typography/layout for production, consistent with brand integrity.</w:t>
      </w:r>
    </w:p>
    <w:p>
      <w:pPr>
        <w:pStyle w:val="Heading2"/>
        <w:spacing w:before="300" w:after="120"/>
      </w:pPr>
      <w:r>
        <w:rPr>
          <w:b/>
          <w:bCs/>
        </w:rPr>
        <w:t xml:space="preserve">5.4 Sublicensing / Assignment</w:t>
      </w:r>
    </w:p>
    <w:p>
      <w:r>
        <w:t xml:space="preserve">Publisher may sublicense as needed for manufacturing, distribution, fulfillment, localization, and service providers. Publisher may assign the Definitive Agreement in connection with a merger, acquisition, or sale of substantially all assets relating to the Product, provided the successor assumes all obligations. Publisher remains responsible for obligations accrued prior to assignment.</w:t>
      </w:r>
    </w:p>
    <w:p>
      <w:pPr>
        <w:pStyle w:val="Heading2"/>
        <w:spacing w:before="300" w:after="120"/>
      </w:pPr>
      <w:r>
        <w:rPr>
          <w:b/>
          <w:bCs/>
        </w:rPr>
        <w:t xml:space="preserve">5.5 Sell-Off</w:t>
      </w:r>
    </w:p>
    <w:p>
      <w:r>
        <w:t xml:space="preserve">Upon expiration or termination (except for-cause where immediate cessation may apply), Publisher retains a </w:t>
      </w:r>
      <w:r>
        <w:rPr>
          <w:b/>
          <w:bCs/>
        </w:rPr>
        <w:t xml:space="preserve">twelve (12) month</w:t>
      </w:r>
      <w:r>
        <w:t xml:space="preserve"> sell-off right for existing inventory and committed production runs, subject to continuing reporting and royalty obligations.</w:t>
      </w:r>
    </w:p>
    <w:p>
      <w:pPr>
        <w:pStyle w:val="Heading1"/>
        <w:spacing w:before="300" w:after="120"/>
      </w:pPr>
      <w:r>
        <w:rPr>
          <w:b/>
          <w:bCs/>
        </w:rPr>
        <w:t xml:space="preserve">6. License Economics (KS1)</w:t>
      </w:r>
    </w:p>
    <w:p>
      <w:pPr>
        <w:pStyle w:val="Heading2"/>
        <w:spacing w:before="300" w:after="120"/>
      </w:pPr>
      <w:r>
        <w:rPr>
          <w:b/>
          <w:bCs/>
        </w:rPr>
        <w:t xml:space="preserve">6.1 KS1 Royalty</w:t>
      </w:r>
    </w:p>
    <w:p>
      <w:r>
        <w:t xml:space="preserve">Publisher will pay Licensor a royalty equal to </w:t>
      </w:r>
      <w:r>
        <w:rPr>
          <w:b/>
          <w:bCs/>
        </w:rPr>
        <w:t xml:space="preserve">5% of Net Receipts</w:t>
      </w:r>
      <w:r>
        <w:t xml:space="preserve"> attributable to the Product. No minimum guarantee applies to KS1.</w:t>
      </w:r>
    </w:p>
    <w:p>
      <w:pPr>
        <w:pStyle w:val="Heading2"/>
        <w:spacing w:before="300" w:after="120"/>
      </w:pPr>
      <w:r>
        <w:rPr>
          <w:b/>
          <w:bCs/>
        </w:rPr>
        <w:t xml:space="preserve">6.2 KS1 Profit-Share Kicker (Highest Tier Only)</w:t>
      </w:r>
    </w:p>
    <w:p>
      <w:r>
        <w:t xml:space="preserve">Based on Captured Gross Funding for KS1: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Captured Gross Funding</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Kicker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 – $74,999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$75,000 – $149,999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$6,000</w:t>
            </w:r>
          </w:p>
        </w:tc>
      </w:tr>
    </w:tbl>
    <w:p>
      <w:pPr>
        <w:spacing w:before="120"/>
      </w:pPr>
      <w:r>
        <w:t xml:space="preserve">Payable within 90 days after KS1 ends, provided Captured Gross Funding has been received and the applicable threshold is met. Highest tier only (no stacking). This kicker is in addition to royalties.</w:t>
      </w:r>
    </w:p>
    <w:p>
      <w:pPr>
        <w:pStyle w:val="Heading2"/>
        <w:spacing w:before="300" w:after="120"/>
      </w:pPr>
      <w:r>
        <w:rPr>
          <w:b/>
          <w:bCs/>
        </w:rPr>
        <w:t xml:space="preserve">6.3 Net Receipts</w:t>
      </w:r>
    </w:p>
    <w:p>
      <w:r>
        <w:t xml:space="preserve">Cash actually received by Publisher attributable to the Product, less Kickstarter/platform fees, payment-processing fees, and refunds/chargebacks. Excludes customer-paid shipping, taxes/VAT, and pass-through charges. Bundles/add-ons allocated by standalone prices (or reasonable good-faith allocation consistent with published pricing).</w:t>
      </w:r>
    </w:p>
    <w:p>
      <w:pPr>
        <w:pStyle w:val="Heading2"/>
        <w:spacing w:before="300" w:after="120"/>
      </w:pPr>
      <w:r>
        <w:rPr>
          <w:b/>
          <w:bCs/>
        </w:rPr>
        <w:t xml:space="preserve">6.4 Reporting, Payment, Audit</w:t>
      </w:r>
    </w:p>
    <w:p>
      <w:r>
        <w:rPr>
          <w:b/>
          <w:bCs/>
        </w:rPr>
        <w:t xml:space="preserve">Reporting: </w:t>
      </w:r>
      <w:r>
        <w:t xml:space="preserve">quarterly, due 45 days after quarter end.</w:t>
      </w:r>
    </w:p>
    <w:p>
      <w:r>
        <w:rPr>
          <w:b/>
          <w:bCs/>
        </w:rPr>
        <w:t xml:space="preserve">Payment: </w:t>
      </w:r>
      <w:r>
        <w:t xml:space="preserve">due 30 days after report delivery.</w:t>
      </w:r>
    </w:p>
    <w:p>
      <w:r>
        <w:rPr>
          <w:b/>
          <w:bCs/>
        </w:rPr>
        <w:t xml:space="preserve">Minimum payout threshold: </w:t>
      </w:r>
      <w:r>
        <w:t xml:space="preserve">$50.</w:t>
      </w:r>
    </w:p>
    <w:p>
      <w:r>
        <w:rPr>
          <w:b/>
          <w:bCs/>
        </w:rPr>
        <w:t xml:space="preserve">Audit: </w:t>
      </w:r>
      <w:r>
        <w:t xml:space="preserve">Licensor may audit relevant records no more than 1×/year with reasonable notice; cost shifting applies if underpayment exceeds 10%.</w:t>
      </w:r>
    </w:p>
    <w:p>
      <w:pPr>
        <w:pStyle w:val="Heading2"/>
        <w:spacing w:before="300" w:after="120"/>
      </w:pPr>
      <w:r>
        <w:rPr>
          <w:b/>
          <w:bCs/>
        </w:rPr>
        <w:t xml:space="preserve">6.5 Assignment / Sublicensing Consideration</w:t>
      </w:r>
    </w:p>
    <w:p>
      <w:r>
        <w:t xml:space="preserve">If Publisher receives upfront consideration primarily in exchange for sublicensing or assigning rights to the Licensed Property or Product (as opposed to ordinary-course product sales), such net consideration will be treated as Net Receipts subject to the 5% royalty, after deduction of reasonable documented third-party transaction costs.</w:t>
      </w:r>
    </w:p>
    <w:p>
      <w:pPr>
        <w:pStyle w:val="Heading1"/>
        <w:spacing w:before="300" w:after="120"/>
      </w:pPr>
      <w:r>
        <w:rPr>
          <w:b/>
          <w:bCs/>
        </w:rPr>
        <w:t xml:space="preserve">7. Term and Reversion</w:t>
      </w:r>
    </w:p>
    <w:p>
      <w:pPr>
        <w:pStyle w:val="Heading2"/>
        <w:spacing w:before="300" w:after="120"/>
      </w:pPr>
      <w:r>
        <w:rPr>
          <w:b/>
          <w:bCs/>
        </w:rPr>
        <w:t xml:space="preserve">7.1 KS1 Phase</w:t>
      </w:r>
    </w:p>
    <w:p>
      <w:r>
        <w:t xml:space="preserve">The exclusive license begins on the Effective Date and continues through completion of KS1 fulfillment and </w:t>
      </w:r>
      <w:r>
        <w:rPr>
          <w:b/>
          <w:bCs/>
        </w:rPr>
        <w:t xml:space="preserve">twelve (12) months</w:t>
      </w:r>
      <w:r>
        <w:t xml:space="preserve"> thereafter. “Fulfillment Completion” means the earlier of: (i) shipment of at least 95% of KS1 backer rewards for the Product, or (ii) [__ backstop date], subject to reasonable delays and good-faith updates.</w:t>
      </w:r>
    </w:p>
    <w:p>
      <w:pPr>
        <w:pStyle w:val="Heading2"/>
        <w:spacing w:before="300" w:after="120"/>
      </w:pPr>
      <w:r>
        <w:rPr>
          <w:b/>
          <w:bCs/>
        </w:rPr>
        <w:t xml:space="preserve">7.2 Reversion Triggers</w:t>
      </w:r>
    </w:p>
    <w:p>
      <w:r>
        <w:t xml:space="preserve">Rights to the Licensed Property revert to Licensor (subject to sell-off) if:</w:t>
      </w:r>
    </w:p>
    <w:p>
      <w:pPr>
        <w:pStyle w:val="ListParagraph"/>
        <w:numPr>
          <w:ilvl w:val="0"/>
          <w:numId w:val="2"/>
        </w:numPr>
      </w:pPr>
      <w:r>
        <w:t xml:space="preserve">Failure to launch KS1 by [__ date], after written notice and a [__]-day cure period;</w:t>
      </w:r>
    </w:p>
    <w:p>
      <w:pPr>
        <w:pStyle w:val="ListParagraph"/>
        <w:numPr>
          <w:ilvl w:val="0"/>
          <w:numId w:val="2"/>
        </w:numPr>
      </w:pPr>
      <w:r>
        <w:t xml:space="preserve">After KS1 fulfillment, the Product is not In Print for twelve (12) consecutive months, after notice and a ninety (90) day cure period;</w:t>
      </w:r>
    </w:p>
    <w:p>
      <w:pPr>
        <w:pStyle w:val="ListParagraph"/>
        <w:numPr>
          <w:ilvl w:val="0"/>
          <w:numId w:val="2"/>
        </w:numPr>
      </w:pPr>
      <w:r>
        <w:t xml:space="preserve">Material nonreporting/nonpayment not cured within forty-five (45) days after notice; or</w:t>
      </w:r>
    </w:p>
    <w:p>
      <w:pPr>
        <w:pStyle w:val="ListParagraph"/>
        <w:numPr>
          <w:ilvl w:val="0"/>
          <w:numId w:val="2"/>
        </w:numPr>
      </w:pPr>
      <w:r>
        <w:t xml:space="preserve">Insolvency/bankruptcy event occurs.</w:t>
      </w:r>
    </w:p>
    <w:p>
      <w:pPr>
        <w:spacing w:before="120"/>
      </w:pPr>
      <w:r>
        <w:rPr>
          <w:b/>
          <w:bCs/>
        </w:rPr>
        <w:t xml:space="preserve">“In Print”</w:t>
      </w:r>
      <w:r>
        <w:t xml:space="preserve"> means Publisher is actively offering the Product for sale through at least one commercial channel and can ship within 45 days, excluding ordinary supply-chain disruptions.</w:t>
      </w:r>
    </w:p>
    <w:p>
      <w:pPr>
        <w:pStyle w:val="Heading1"/>
        <w:spacing w:before="300" w:after="120"/>
      </w:pPr>
      <w:r>
        <w:rPr>
          <w:b/>
          <w:bCs/>
        </w:rPr>
        <w:t xml:space="preserve">8. Right of First Negotiation (Future Products)</w:t>
      </w:r>
    </w:p>
    <w:p>
      <w:r>
        <w:t xml:space="preserve">If Publisher wishes to develop additional Licensed Products beyond the Product (including expansions, reprints, or new games within the Licensed Property universe), Publisher and Licensor will negotiate in good faith for a period of </w:t>
      </w:r>
      <w:r>
        <w:rPr>
          <w:b/>
          <w:bCs/>
        </w:rPr>
        <w:t xml:space="preserve">sixty (60) days</w:t>
      </w:r>
      <w:r>
        <w:t xml:space="preserve"> before either party may engage third parties for such products. For clarity, this right of first negotiation does not obligate either party to reach agreement and does not create any exclusive right beyond the negotiation window.</w:t>
      </w:r>
    </w:p>
    <w:p>
      <w:pPr>
        <w:pStyle w:val="Heading1"/>
        <w:spacing w:before="300" w:after="120"/>
      </w:pPr>
      <w:r>
        <w:rPr>
          <w:b/>
          <w:bCs/>
        </w:rPr>
        <w:t xml:space="preserve">9. IG/TikTok Story Campaign (If Included)</w:t>
      </w:r>
    </w:p>
    <w:p>
      <w:r>
        <w:t xml:space="preserve">Minimum </w:t>
      </w:r>
      <w:r>
        <w:rPr>
          <w:b/>
          <w:bCs/>
        </w:rPr>
        <w:t xml:space="preserve">10</w:t>
      </w:r>
      <w:r>
        <w:t xml:space="preserve"> story placements during the 10-week lead-up to KS1 at </w:t>
      </w:r>
      <w:r>
        <w:rPr>
          <w:b/>
          <w:bCs/>
        </w:rPr>
        <w:t xml:space="preserve">$50/story</w:t>
      </w:r>
      <w:r>
        <w:t xml:space="preserve">. Schedule locked by [__ date]. Proof within 24 hours; make-good within 7 days or refund for that placement. Administrative details may be further specified in Exhibit A.</w:t>
      </w:r>
    </w:p>
    <w:p>
      <w:pPr>
        <w:pStyle w:val="Heading1"/>
        <w:spacing w:before="300" w:after="120"/>
      </w:pPr>
      <w:r>
        <w:rPr>
          <w:b/>
          <w:bCs/>
        </w:rPr>
        <w:t xml:space="preserve">10. Credits &amp; Portfolio</w:t>
      </w:r>
    </w:p>
    <w:p>
      <w:r>
        <w:t xml:space="preserve">Publisher provides standard artist/IP credit where customary. Licensor may display commissioned work in portfolio after public reveal, subject to reasonable confidentiality prior to reveal.</w:t>
      </w:r>
    </w:p>
    <w:p>
      <w:pPr>
        <w:pStyle w:val="Heading1"/>
        <w:spacing w:before="300" w:after="120"/>
      </w:pPr>
      <w:r>
        <w:rPr>
          <w:b/>
          <w:bCs/>
        </w:rPr>
        <w:t xml:space="preserve">11. Ownership; Logo; Warranties</w:t>
      </w:r>
    </w:p>
    <w:p>
      <w:r>
        <w:rPr>
          <w:b/>
          <w:bCs/>
        </w:rPr>
        <w:t xml:space="preserve">Licensor Ownership. </w:t>
      </w:r>
      <w:r>
        <w:t xml:space="preserve">Licensor retains all right, title, and interest in the Licensed Property and the Franchise Marks.</w:t>
      </w:r>
    </w:p>
    <w:p>
      <w:r>
        <w:rPr>
          <w:b/>
          <w:bCs/>
        </w:rPr>
        <w:t xml:space="preserve">Publisher Ownership. </w:t>
      </w:r>
      <w:r>
        <w:t xml:space="preserve">Publisher retains all right, title, and interest in the game rules/mechanics and Publisher-created content that does not constitute Licensed Property, and in the Product Marks. Publisher does not own the Franchise Marks.</w:t>
      </w:r>
    </w:p>
    <w:p>
      <w:r>
        <w:rPr>
          <w:b/>
          <w:bCs/>
        </w:rPr>
        <w:t xml:space="preserve">Game Logo. </w:t>
      </w:r>
      <w:r>
        <w:t xml:space="preserve">The game logo deliverable is a “work made for hire” to the maximum extent permitted by law; to the extent not, Licensor assigns to Publisher all right, title, and interest in the logo and associated copyrights.</w:t>
      </w:r>
    </w:p>
    <w:p>
      <w:r>
        <w:rPr>
          <w:b/>
          <w:bCs/>
        </w:rPr>
        <w:t xml:space="preserve">Warranties; Limited Indemnity. </w:t>
      </w:r>
      <w:r>
        <w:t xml:space="preserve">Licensor warrants commissioned works are original and properly licensed; no unlicensed third-party stock/fonts/assets. Licensor will indemnify Publisher against third-party IP infringement claims arising from Licensor’s breach of this warranty, capped at amounts paid under the Definitive Agreement (except fraud/willful misconduct).</w:t>
      </w:r>
    </w:p>
    <w:p>
      <w:pPr>
        <w:pStyle w:val="Heading1"/>
        <w:spacing w:before="300" w:after="120"/>
      </w:pPr>
      <w:r>
        <w:rPr>
          <w:b/>
          <w:bCs/>
        </w:rPr>
        <w:t xml:space="preserve">12. Publisher Termination for Convenience</w:t>
      </w:r>
    </w:p>
    <w:p>
      <w:r>
        <w:t xml:space="preserve">Publisher may terminate the license for convenience on </w:t>
      </w:r>
      <w:r>
        <w:rPr>
          <w:b/>
          <w:bCs/>
        </w:rPr>
        <w:t xml:space="preserve">one hundred twenty (120) days’</w:t>
      </w:r>
      <w:r>
        <w:t xml:space="preserve"> written notice, effective no earlier than Fulfillment Completion. Sell-off applies; royalties/reporting remain due for sell-off sales.</w:t>
      </w:r>
    </w:p>
    <w:p>
      <w:pPr>
        <w:pStyle w:val="Heading1"/>
        <w:spacing w:before="300" w:after="120"/>
      </w:pPr>
      <w:r>
        <w:rPr>
          <w:b/>
          <w:bCs/>
        </w:rPr>
        <w:t xml:space="preserve">13. Non-Binding; Governing Law</w:t>
      </w:r>
    </w:p>
    <w:p>
      <w:r>
        <w:t xml:space="preserve">This term sheet is non-binding for negotiation purposes only, except as expressly stated in the Definitive Agreement. Governing law: </w:t>
      </w:r>
      <w:r>
        <w:rPr>
          <w:b/>
          <w:bCs/>
        </w:rPr>
        <w:t xml:space="preserve">Arizona</w:t>
      </w:r>
      <w:r>
        <w:t xml:space="preserve">.</w:t>
      </w:r>
    </w:p>
    <w:p>
      <w:pPr>
        <w:spacing w:before="60" w:after="60"/>
      </w:pPr>
      <w:r>
        <w:t xml:space="preserve"/>
      </w:r>
    </w:p>
    <w:p>
      <w:pPr>
        <w:spacing w:before="360"/>
      </w:pPr>
      <w:r>
        <w:rPr>
          <w:b/>
          <w:bCs/>
        </w:rPr>
        <w:t xml:space="preserve">Acknowledged (Non-Binding)</w:t>
      </w:r>
    </w:p>
    <w:p>
      <w:pPr>
        <w:spacing w:before="60" w:after="60"/>
      </w:pPr>
      <w:r>
        <w:t xml:space="preserve"/>
      </w:r>
    </w:p>
    <w:p>
      <w:r>
        <w:t xml:space="preserve">Publisher: _____________________________ Date: ____________</w:t>
      </w:r>
    </w:p>
    <w:p>
      <w:r>
        <w:t xml:space="preserve">Licensor: _____________________________ Date: ____________</w:t>
      </w:r>
    </w:p>
    <w:p>
      <w:r>
        <w:br w:type="page"/>
      </w:r>
    </w:p>
    <w:p>
      <w:pPr>
        <w:spacing w:before="120" w:after="240"/>
      </w:pPr>
      <w:r>
        <w:rPr>
          <w:b/>
          <w:bCs/>
          <w:sz w:val="28"/>
          <w:szCs w:val="28"/>
        </w:rPr>
        <w:t xml:space="preserve">EXHIBIT A — Deliverables, Specs, Schedule, Commission Payments</w:t>
      </w:r>
    </w:p>
    <w:p>
      <w:pPr>
        <w:pStyle w:val="Heading2"/>
        <w:spacing w:before="300" w:after="120"/>
      </w:pPr>
      <w:r>
        <w:rPr>
          <w:b/>
          <w:bCs/>
        </w:rPr>
        <w:t xml:space="preserve">A1. Fixed-Fee Deliverables &amp; Fees</w:t>
      </w:r>
    </w:p>
    <w:p>
      <w:pPr>
        <w:pStyle w:val="ListParagraph"/>
        <w:numPr>
          <w:ilvl w:val="0"/>
          <w:numId w:val="3"/>
        </w:numPr>
      </w:pPr>
      <w:r>
        <w:rPr>
          <w:b/>
          <w:bCs/>
        </w:rPr>
        <w:t xml:space="preserve">Faction pieces (6): </w:t>
      </w:r>
      <w:r>
        <w:t xml:space="preserve">6 × $350 = $2,100</w:t>
      </w:r>
    </w:p>
    <w:p>
      <w:pPr>
        <w:pStyle w:val="ListParagraph"/>
        <w:numPr>
          <w:ilvl w:val="0"/>
          <w:numId w:val="3"/>
        </w:numPr>
      </w:pPr>
      <w:r>
        <w:rPr>
          <w:b/>
          <w:bCs/>
        </w:rPr>
        <w:t xml:space="preserve">Card back (1): </w:t>
      </w:r>
      <w:r>
        <w:t xml:space="preserve">1 × $350 = $350</w:t>
      </w:r>
    </w:p>
    <w:p>
      <w:pPr>
        <w:pStyle w:val="ListParagraph"/>
        <w:numPr>
          <w:ilvl w:val="0"/>
          <w:numId w:val="3"/>
        </w:numPr>
      </w:pPr>
      <w:r>
        <w:rPr>
          <w:b/>
          <w:bCs/>
        </w:rPr>
        <w:t xml:space="preserve">Box art (1): </w:t>
      </w:r>
      <w:r>
        <w:t xml:space="preserve">$750</w:t>
      </w:r>
    </w:p>
    <w:p>
      <w:pPr>
        <w:pStyle w:val="ListParagraph"/>
        <w:numPr>
          <w:ilvl w:val="0"/>
          <w:numId w:val="3"/>
        </w:numPr>
      </w:pPr>
      <w:r>
        <w:rPr>
          <w:b/>
          <w:bCs/>
        </w:rPr>
        <w:t xml:space="preserve">Marketing assets pack (1): </w:t>
      </w:r>
      <w:r>
        <w:t xml:space="preserve">$500 (itemized below; cap applies)</w:t>
      </w:r>
    </w:p>
    <w:p>
      <w:pPr>
        <w:pStyle w:val="ListParagraph"/>
        <w:numPr>
          <w:ilvl w:val="0"/>
          <w:numId w:val="3"/>
        </w:numPr>
      </w:pPr>
      <w:r>
        <w:rPr>
          <w:b/>
          <w:bCs/>
        </w:rPr>
        <w:t xml:space="preserve">IG/TikTok stories (min 10): </w:t>
      </w:r>
      <w:r>
        <w:t xml:space="preserve">10 × $50 = $500</w:t>
      </w:r>
    </w:p>
    <w:p>
      <w:pPr>
        <w:pStyle w:val="ListParagraph"/>
        <w:numPr>
          <w:ilvl w:val="0"/>
          <w:numId w:val="3"/>
        </w:numPr>
      </w:pPr>
      <w:r>
        <w:rPr>
          <w:b/>
          <w:bCs/>
        </w:rPr>
        <w:t xml:space="preserve">Landing page art + game logo: </w:t>
      </w:r>
      <w:r>
        <w:t xml:space="preserve">TBD (est. $450) (only if agreed in writing)</w:t>
      </w:r>
    </w:p>
    <w:p>
      <w:pPr>
        <w:pStyle w:val="Heading2"/>
        <w:spacing w:before="300" w:after="120"/>
      </w:pPr>
      <w:r>
        <w:rPr>
          <w:b/>
          <w:bCs/>
        </w:rPr>
        <w:t xml:space="preserve">A2. Marketing Pack (Itemized; Cap = $500)</w:t>
      </w:r>
    </w:p>
    <w:p>
      <w:r>
        <w:t xml:space="preserve">Asset list, sizes/formats, and variants: to finalize.</w:t>
      </w:r>
    </w:p>
    <w:p>
      <w:pPr>
        <w:pStyle w:val="Heading2"/>
        <w:spacing w:before="300" w:after="120"/>
      </w:pPr>
      <w:r>
        <w:rPr>
          <w:b/>
          <w:bCs/>
        </w:rPr>
        <w:t xml:space="preserve">A3. Technical Specs</w:t>
      </w:r>
    </w:p>
    <w:p>
      <w:r>
        <w:t xml:space="preserve">Print-ready exports + layered sources (PSD/AI/etc.) per Publisher templates, including color profile and bleed/safe-area compliance.</w:t>
      </w:r>
    </w:p>
    <w:p>
      <w:pPr>
        <w:pStyle w:val="Heading2"/>
        <w:spacing w:before="300" w:after="120"/>
      </w:pPr>
      <w:r>
        <w:rPr>
          <w:b/>
          <w:bCs/>
        </w:rPr>
        <w:t xml:space="preserve">A4. Schedule / Milestones</w:t>
      </w:r>
    </w:p>
    <w:p>
      <w:r>
        <w:t xml:space="preserve">Target dates and dependencies to be set in the Definitive Agreement or this Exhibit. Day-for-day extensions for delayed Publisher inputs.</w:t>
      </w:r>
    </w:p>
    <w:p>
      <w:pPr>
        <w:pStyle w:val="Heading2"/>
        <w:spacing w:before="300" w:after="120"/>
      </w:pPr>
      <w:r>
        <w:rPr>
          <w:b/>
          <w:bCs/>
        </w:rPr>
        <w:t xml:space="preserve">A5. Commission Payment Milestones</w:t>
      </w:r>
    </w:p>
    <w:p>
      <w:pPr>
        <w:pStyle w:val="ListParagraph"/>
        <w:numPr>
          <w:ilvl w:val="0"/>
          <w:numId w:val="4"/>
        </w:numPr>
      </w:pPr>
      <w:r>
        <w:rPr>
          <w:b/>
          <w:bCs/>
        </w:rPr>
        <w:t xml:space="preserve">40% ($1,780)</w:t>
      </w:r>
      <w:r>
        <w:t xml:space="preserve"> on signature/kickoff</w:t>
      </w:r>
    </w:p>
    <w:p>
      <w:pPr>
        <w:pStyle w:val="ListParagraph"/>
        <w:numPr>
          <w:ilvl w:val="0"/>
          <w:numId w:val="4"/>
        </w:numPr>
      </w:pPr>
      <w:r>
        <w:rPr>
          <w:b/>
          <w:bCs/>
        </w:rPr>
        <w:t xml:space="preserve">30% ($1,335)</w:t>
      </w:r>
      <w:r>
        <w:t xml:space="preserve"> on delivery of all 6 faction pieces + card back (print-ready)</w:t>
      </w:r>
    </w:p>
    <w:p>
      <w:pPr>
        <w:pStyle w:val="ListParagraph"/>
        <w:numPr>
          <w:ilvl w:val="0"/>
          <w:numId w:val="4"/>
        </w:numPr>
      </w:pPr>
      <w:r>
        <w:rPr>
          <w:b/>
          <w:bCs/>
        </w:rPr>
        <w:t xml:space="preserve">30% ($1,335)</w:t>
      </w:r>
      <w:r>
        <w:t xml:space="preserve"> on delivery of box art + marketing pack + story posting calendar confirmed</w:t>
      </w:r>
    </w:p>
    <w:p>
      <w:pPr>
        <w:spacing w:before="120"/>
      </w:pPr>
      <w:r>
        <w:t xml:space="preserve">Landing page art + logo (if added): 50% start / 50% delivery once scope and price are agreed in writing.</w:t>
      </w:r>
    </w:p>
    <w:p>
      <w:pPr>
        <w:pStyle w:val="Heading2"/>
        <w:spacing w:before="300" w:after="120"/>
      </w:pPr>
      <w:r>
        <w:rPr>
          <w:b/>
          <w:bCs/>
        </w:rPr>
        <w:t xml:space="preserve">A6. Story Posting Admin (If Included)</w:t>
      </w:r>
    </w:p>
    <w:p>
      <w:r>
        <w:t xml:space="preserve">Schedule lock date: [__ date]. Deposit: $100 upon confirmation (applied to total). Pay-per-story: remaining due within 7 days after each story goes live. Make-good: repost within 7 days or refund.</w:t>
      </w:r>
    </w:p>
    <w:p>
      <w:r>
        <w:br w:type="page"/>
      </w:r>
    </w:p>
    <w:p>
      <w:pPr>
        <w:spacing w:before="120" w:after="240"/>
      </w:pPr>
      <w:r>
        <w:rPr>
          <w:b/>
          <w:bCs/>
          <w:sz w:val="28"/>
          <w:szCs w:val="28"/>
        </w:rPr>
        <w:t xml:space="preserve">EXHIBIT B — Licensed Property Canon List; Trademark Notes</w:t>
      </w:r>
    </w:p>
    <w:p>
      <w:pPr>
        <w:pStyle w:val="Heading2"/>
        <w:spacing w:before="300" w:after="120"/>
      </w:pPr>
      <w:r>
        <w:rPr>
          <w:b/>
          <w:bCs/>
        </w:rPr>
        <w:t xml:space="preserve">B1. Canon List / Style Bible Index</w:t>
      </w:r>
    </w:p>
    <w:p>
      <w:r>
        <w:t xml:space="preserve">Included setting elements (factions, character names, key terms, logos/marks): [to complete]</w:t>
      </w:r>
    </w:p>
    <w:p>
      <w:r>
        <w:t xml:space="preserve">Explicit exclusions (anything not listed is excluded unless added in writing): [to complete]</w:t>
      </w:r>
    </w:p>
    <w:p>
      <w:pPr>
        <w:pStyle w:val="Heading2"/>
        <w:spacing w:before="300" w:after="120"/>
      </w:pPr>
      <w:r>
        <w:rPr>
          <w:b/>
          <w:bCs/>
        </w:rPr>
        <w:t xml:space="preserve">B2. Trademark (Franchise Marks)</w:t>
      </w:r>
    </w:p>
    <w:p>
      <w:r>
        <w:t xml:space="preserve">Franchise Marks are licensed to Publisher exclusively in the Field of Use during the Term, subject to Section 5.2.</w:t>
      </w:r>
    </w:p>
    <w:p>
      <w:r>
        <w:br w:type="page"/>
      </w:r>
    </w:p>
    <w:p>
      <w:pPr>
        <w:spacing w:before="120" w:after="240"/>
      </w:pPr>
      <w:r>
        <w:rPr>
          <w:b/>
          <w:bCs/>
          <w:sz w:val="28"/>
          <w:szCs w:val="28"/>
        </w:rPr>
        <w:t xml:space="preserve">EXHIBIT C — Royalty Report Template</w:t>
      </w:r>
    </w:p>
    <w:p>
      <w:pPr>
        <w:pStyle w:val="Heading2"/>
        <w:spacing w:before="300" w:after="120"/>
      </w:pPr>
      <w:r>
        <w:rPr>
          <w:b/>
          <w:bCs/>
        </w:rPr>
        <w:t xml:space="preserve">C1. Quarterly Report Fields</w:t>
      </w:r>
    </w:p>
    <w:p>
      <w:pPr>
        <w:pStyle w:val="ListParagraph"/>
        <w:numPr>
          <w:ilvl w:val="0"/>
          <w:numId w:val="5"/>
        </w:numPr>
      </w:pPr>
      <w:r>
        <w:t xml:space="preserve">Reporting period (quarter/year)</w:t>
      </w:r>
    </w:p>
    <w:p>
      <w:pPr>
        <w:pStyle w:val="ListParagraph"/>
        <w:numPr>
          <w:ilvl w:val="0"/>
          <w:numId w:val="5"/>
        </w:numPr>
      </w:pPr>
      <w:r>
        <w:t xml:space="preserve">Channel (Kickstarter, pledge manager, DTC, distributor/retail)</w:t>
      </w:r>
    </w:p>
    <w:p>
      <w:pPr>
        <w:pStyle w:val="ListParagraph"/>
        <w:numPr>
          <w:ilvl w:val="0"/>
          <w:numId w:val="5"/>
        </w:numPr>
      </w:pPr>
      <w:r>
        <w:t xml:space="preserve">SKU / product line item</w:t>
      </w:r>
    </w:p>
    <w:p>
      <w:pPr>
        <w:pStyle w:val="ListParagraph"/>
        <w:numPr>
          <w:ilvl w:val="0"/>
          <w:numId w:val="5"/>
        </w:numPr>
      </w:pPr>
      <w:r>
        <w:t xml:space="preserve">Gross receipts (cash received)</w:t>
      </w:r>
    </w:p>
    <w:p>
      <w:pPr>
        <w:pStyle w:val="ListParagraph"/>
        <w:numPr>
          <w:ilvl w:val="0"/>
          <w:numId w:val="5"/>
        </w:numPr>
      </w:pPr>
      <w:r>
        <w:t xml:space="preserve">Less: platform fees</w:t>
      </w:r>
    </w:p>
    <w:p>
      <w:pPr>
        <w:pStyle w:val="ListParagraph"/>
        <w:numPr>
          <w:ilvl w:val="0"/>
          <w:numId w:val="5"/>
        </w:numPr>
      </w:pPr>
      <w:r>
        <w:t xml:space="preserve">Less: payment processing fees</w:t>
      </w:r>
    </w:p>
    <w:p>
      <w:pPr>
        <w:pStyle w:val="ListParagraph"/>
        <w:numPr>
          <w:ilvl w:val="0"/>
          <w:numId w:val="5"/>
        </w:numPr>
      </w:pPr>
      <w:r>
        <w:t xml:space="preserve">Less: refunds/chargebacks</w:t>
      </w:r>
    </w:p>
    <w:p>
      <w:pPr>
        <w:pStyle w:val="ListParagraph"/>
        <w:numPr>
          <w:ilvl w:val="0"/>
          <w:numId w:val="5"/>
        </w:numPr>
      </w:pPr>
      <w:r>
        <w:t xml:space="preserve">Net Receipts</w:t>
      </w:r>
    </w:p>
    <w:p>
      <w:pPr>
        <w:pStyle w:val="ListParagraph"/>
        <w:numPr>
          <w:ilvl w:val="0"/>
          <w:numId w:val="5"/>
        </w:numPr>
      </w:pPr>
      <w:r>
        <w:t xml:space="preserve">Royalty rate (5%)</w:t>
      </w:r>
    </w:p>
    <w:p>
      <w:pPr>
        <w:pStyle w:val="ListParagraph"/>
        <w:numPr>
          <w:ilvl w:val="0"/>
          <w:numId w:val="5"/>
        </w:numPr>
      </w:pPr>
      <w:r>
        <w:t xml:space="preserve">Royalty accrued</w:t>
      </w:r>
    </w:p>
    <w:p>
      <w:pPr>
        <w:pStyle w:val="ListParagraph"/>
        <w:numPr>
          <w:ilvl w:val="0"/>
          <w:numId w:val="5"/>
        </w:numPr>
      </w:pPr>
      <w:r>
        <w:t xml:space="preserve">Amount payable (subject to $50 threshold)</w:t>
      </w:r>
    </w:p>
    <w:p>
      <w:pPr>
        <w:pStyle w:val="Heading2"/>
        <w:spacing w:before="300" w:after="120"/>
      </w:pPr>
      <w:r>
        <w:rPr>
          <w:b/>
          <w:bCs/>
        </w:rPr>
        <w:t xml:space="preserve">C2. Allocation Rules</w:t>
      </w:r>
    </w:p>
    <w:p>
      <w:r>
        <w:t xml:space="preserve">Bundles/add-ons allocated by standalone prices (or reasonable good-faith allocation consistent with published pricing).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Hamsters &amp; Monsters — Term Sheet (KS1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2026-02-23T20:56:47.732Z</dcterms:created>
  <dcterms:modified xsi:type="dcterms:W3CDTF">2026-02-23T20:56:47.732Z</dcterms:modified>
</cp:coreProperties>
</file>

<file path=docProps/custom.xml><?xml version="1.0" encoding="utf-8"?>
<Properties xmlns="http://schemas.openxmlformats.org/officeDocument/2006/custom-properties" xmlns:vt="http://schemas.openxmlformats.org/officeDocument/2006/docPropsVTypes"/>
</file>