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外观模式（</w:t>
      </w:r>
      <w:r>
        <w:rPr>
          <w:rFonts w:hint="eastAsia" w:ascii="微软雅黑" w:hAnsi="微软雅黑" w:eastAsia="微软雅黑" w:cs="微软雅黑"/>
          <w:lang w:val="en-US" w:eastAsia="zh-CN"/>
        </w:rPr>
        <w:t>facade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生活案例：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814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装机公司</w:t>
      </w:r>
      <w:r>
        <w:rPr>
          <w:rFonts w:hint="eastAsia" w:ascii="微软雅黑" w:hAnsi="微软雅黑" w:eastAsia="微软雅黑" w:cs="微软雅黑"/>
          <w:lang w:val="en-US" w:eastAsia="zh-CN"/>
        </w:rPr>
        <w:t>-外观模式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外观模式结构：</w:t>
      </w:r>
    </w:p>
    <w:p>
      <w:pPr>
        <w:numPr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6959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定义：定义子系统的多个模块对外的高层接口，通常需要调用内部多个模块，从而把客户的请求代理给适当的子系统对象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模块：接收facade对象的委派，真正实现功能，各个模块之间可能有交互；注意Facade知道各个子模块，但各个模块不应该知道Facade对象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外观模式的目的：不是给子系统添加新的功能，而是为了让外部减少与子系统内多个模块的交互，松散耦合，从而是外部能够更简单的使用子系统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外观模式的本质：封装交互，简化调用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8DCB8"/>
    <w:multiLevelType w:val="multilevel"/>
    <w:tmpl w:val="CD08DC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6642"/>
    <w:rsid w:val="15BC7407"/>
    <w:rsid w:val="192C644E"/>
    <w:rsid w:val="1B210417"/>
    <w:rsid w:val="217D60EE"/>
    <w:rsid w:val="28F97D66"/>
    <w:rsid w:val="33B669BF"/>
    <w:rsid w:val="3A5B0311"/>
    <w:rsid w:val="4E0F4088"/>
    <w:rsid w:val="4FAC11E0"/>
    <w:rsid w:val="50337E27"/>
    <w:rsid w:val="55251D16"/>
    <w:rsid w:val="59AB5405"/>
    <w:rsid w:val="5A7861E4"/>
    <w:rsid w:val="5AA6403C"/>
    <w:rsid w:val="5F237886"/>
    <w:rsid w:val="731E1061"/>
    <w:rsid w:val="7F3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wanghongli</dc:creator>
  <cp:lastModifiedBy>drewin@163.com</cp:lastModifiedBy>
  <dcterms:modified xsi:type="dcterms:W3CDTF">2019-07-03T10:05:46Z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