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9BE9" w14:textId="632DF611" w:rsidR="481B031A" w:rsidRPr="00911B6B" w:rsidRDefault="481B031A" w:rsidP="047CD7FA">
      <w:pPr>
        <w:spacing w:line="257" w:lineRule="auto"/>
        <w:jc w:val="center"/>
        <w:rPr>
          <w:rFonts w:ascii="Times New Roman" w:eastAsia="Times New Roman" w:hAnsi="Times New Roman" w:cs="Times New Roman"/>
          <w:b/>
          <w:bCs/>
          <w:sz w:val="24"/>
          <w:szCs w:val="24"/>
        </w:rPr>
      </w:pPr>
      <w:r w:rsidRPr="00911B6B">
        <w:rPr>
          <w:rFonts w:ascii="Times New Roman" w:eastAsia="Times New Roman" w:hAnsi="Times New Roman" w:cs="Times New Roman"/>
          <w:b/>
          <w:bCs/>
          <w:sz w:val="24"/>
          <w:szCs w:val="24"/>
        </w:rPr>
        <w:t>Introduction</w:t>
      </w:r>
    </w:p>
    <w:p w14:paraId="35CE3A96" w14:textId="1CF6080A" w:rsidR="481B031A" w:rsidRPr="00911B6B" w:rsidRDefault="481B031A" w:rsidP="047CD7FA">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From 1964 to 1999 Indonesia experienced significant economic growth. The average real GDP growth rate for this 30-year period indicated a seven-fold increase in </w:t>
      </w:r>
      <w:r w:rsidR="40D00CCA" w:rsidRPr="00911B6B">
        <w:rPr>
          <w:rFonts w:ascii="Times New Roman" w:eastAsia="Times New Roman" w:hAnsi="Times New Roman" w:cs="Times New Roman"/>
          <w:sz w:val="24"/>
          <w:szCs w:val="24"/>
        </w:rPr>
        <w:t>GPD (</w:t>
      </w:r>
      <w:r w:rsidR="20833540" w:rsidRPr="00911B6B">
        <w:rPr>
          <w:rFonts w:ascii="Times New Roman" w:eastAsia="Times New Roman" w:hAnsi="Times New Roman" w:cs="Times New Roman"/>
          <w:color w:val="000000" w:themeColor="text1"/>
          <w:sz w:val="24"/>
          <w:szCs w:val="24"/>
        </w:rPr>
        <w:t>Cameron</w:t>
      </w:r>
      <w:r w:rsidRPr="00911B6B">
        <w:rPr>
          <w:rFonts w:ascii="Times New Roman" w:eastAsia="Times New Roman" w:hAnsi="Times New Roman" w:cs="Times New Roman"/>
          <w:sz w:val="24"/>
          <w:szCs w:val="24"/>
        </w:rPr>
        <w:t xml:space="preserve">,1). The population growth during this </w:t>
      </w:r>
      <w:r w:rsidR="757CD965" w:rsidRPr="00911B6B">
        <w:rPr>
          <w:rFonts w:ascii="Times New Roman" w:eastAsia="Times New Roman" w:hAnsi="Times New Roman" w:cs="Times New Roman"/>
          <w:sz w:val="24"/>
          <w:szCs w:val="24"/>
        </w:rPr>
        <w:t>time</w:t>
      </w:r>
      <w:r w:rsidRPr="00911B6B">
        <w:rPr>
          <w:rFonts w:ascii="Times New Roman" w:eastAsia="Times New Roman" w:hAnsi="Times New Roman" w:cs="Times New Roman"/>
          <w:sz w:val="24"/>
          <w:szCs w:val="24"/>
        </w:rPr>
        <w:t xml:space="preserve"> also grew at a fourfold increase (</w:t>
      </w:r>
      <w:r w:rsidR="325AEDC1" w:rsidRPr="00911B6B">
        <w:rPr>
          <w:rFonts w:ascii="Times New Roman" w:eastAsia="Times New Roman" w:hAnsi="Times New Roman" w:cs="Times New Roman"/>
          <w:color w:val="000000" w:themeColor="text1"/>
          <w:sz w:val="24"/>
          <w:szCs w:val="24"/>
        </w:rPr>
        <w:t>Cameron</w:t>
      </w:r>
      <w:r w:rsidRPr="00911B6B">
        <w:rPr>
          <w:rFonts w:ascii="Times New Roman" w:eastAsia="Times New Roman" w:hAnsi="Times New Roman" w:cs="Times New Roman"/>
          <w:sz w:val="24"/>
          <w:szCs w:val="24"/>
        </w:rPr>
        <w:t xml:space="preserve">,1). While rapid structural changes can increase standards of living for those </w:t>
      </w:r>
      <w:r w:rsidR="45D87638" w:rsidRPr="00911B6B">
        <w:rPr>
          <w:rFonts w:ascii="Times New Roman" w:eastAsia="Times New Roman" w:hAnsi="Times New Roman" w:cs="Times New Roman"/>
          <w:sz w:val="24"/>
          <w:szCs w:val="24"/>
        </w:rPr>
        <w:t>who are</w:t>
      </w:r>
      <w:r w:rsidRPr="00911B6B">
        <w:rPr>
          <w:rFonts w:ascii="Times New Roman" w:eastAsia="Times New Roman" w:hAnsi="Times New Roman" w:cs="Times New Roman"/>
          <w:sz w:val="24"/>
          <w:szCs w:val="24"/>
        </w:rPr>
        <w:t xml:space="preserve"> able to take advantage of it, growth like this can also cause displacement and result in a widening income distribution. As a result, the Indonesian government recognized the possibility of increasing inequality and started the National-Socioeconomic Survey (</w:t>
      </w:r>
      <w:proofErr w:type="spellStart"/>
      <w:r w:rsidRPr="00911B6B">
        <w:rPr>
          <w:rFonts w:ascii="Times New Roman" w:eastAsia="Times New Roman" w:hAnsi="Times New Roman" w:cs="Times New Roman"/>
          <w:sz w:val="24"/>
          <w:szCs w:val="24"/>
        </w:rPr>
        <w:t>Susenas</w:t>
      </w:r>
      <w:proofErr w:type="spellEnd"/>
      <w:r w:rsidRPr="00911B6B">
        <w:rPr>
          <w:rFonts w:ascii="Times New Roman" w:eastAsia="Times New Roman" w:hAnsi="Times New Roman" w:cs="Times New Roman"/>
          <w:sz w:val="24"/>
          <w:szCs w:val="24"/>
        </w:rPr>
        <w:t>) in the mid 1960’s (</w:t>
      </w:r>
      <w:r w:rsidR="18F7BBDE" w:rsidRPr="00911B6B">
        <w:rPr>
          <w:rFonts w:ascii="Times New Roman" w:eastAsia="Times New Roman" w:hAnsi="Times New Roman" w:cs="Times New Roman"/>
          <w:color w:val="000000" w:themeColor="text1"/>
          <w:sz w:val="24"/>
          <w:szCs w:val="24"/>
        </w:rPr>
        <w:t>Cameron</w:t>
      </w:r>
      <w:r w:rsidR="527E8968" w:rsidRPr="00911B6B">
        <w:rPr>
          <w:rFonts w:ascii="Times New Roman" w:eastAsia="Times New Roman" w:hAnsi="Times New Roman" w:cs="Times New Roman"/>
          <w:color w:val="000000" w:themeColor="text1"/>
          <w:sz w:val="24"/>
          <w:szCs w:val="24"/>
        </w:rPr>
        <w:t>,</w:t>
      </w:r>
      <w:r w:rsidR="18F7BBDE" w:rsidRPr="00911B6B">
        <w:rPr>
          <w:rFonts w:ascii="Times New Roman" w:eastAsia="Times New Roman" w:hAnsi="Times New Roman" w:cs="Times New Roman"/>
          <w:sz w:val="24"/>
          <w:szCs w:val="24"/>
        </w:rPr>
        <w:t xml:space="preserve"> </w:t>
      </w:r>
      <w:r w:rsidRPr="00911B6B">
        <w:rPr>
          <w:rFonts w:ascii="Times New Roman" w:eastAsia="Times New Roman" w:hAnsi="Times New Roman" w:cs="Times New Roman"/>
          <w:sz w:val="24"/>
          <w:szCs w:val="24"/>
        </w:rPr>
        <w:t xml:space="preserve">2). The </w:t>
      </w:r>
      <w:proofErr w:type="spellStart"/>
      <w:r w:rsidRPr="00911B6B">
        <w:rPr>
          <w:rFonts w:ascii="Times New Roman" w:eastAsia="Times New Roman" w:hAnsi="Times New Roman" w:cs="Times New Roman"/>
          <w:sz w:val="24"/>
          <w:szCs w:val="24"/>
        </w:rPr>
        <w:t>Susenas</w:t>
      </w:r>
      <w:proofErr w:type="spellEnd"/>
      <w:r w:rsidRPr="00911B6B">
        <w:rPr>
          <w:rFonts w:ascii="Times New Roman" w:eastAsia="Times New Roman" w:hAnsi="Times New Roman" w:cs="Times New Roman"/>
          <w:sz w:val="24"/>
          <w:szCs w:val="24"/>
        </w:rPr>
        <w:t xml:space="preserve"> collects data on Indonesian households pertaining to indicators of welfare most notably household expenditure and </w:t>
      </w:r>
      <w:r w:rsidR="4736A32E" w:rsidRPr="00911B6B">
        <w:rPr>
          <w:rFonts w:ascii="Times New Roman" w:eastAsia="Times New Roman" w:hAnsi="Times New Roman" w:cs="Times New Roman"/>
          <w:sz w:val="24"/>
          <w:szCs w:val="24"/>
        </w:rPr>
        <w:t>income (</w:t>
      </w:r>
      <w:r w:rsidR="4D0FFADF" w:rsidRPr="00911B6B">
        <w:rPr>
          <w:rFonts w:ascii="Times New Roman" w:eastAsia="Times New Roman" w:hAnsi="Times New Roman" w:cs="Times New Roman"/>
          <w:color w:val="000000" w:themeColor="text1"/>
          <w:sz w:val="24"/>
          <w:szCs w:val="24"/>
        </w:rPr>
        <w:t>Cameron</w:t>
      </w:r>
      <w:r w:rsidR="4D0FFADF" w:rsidRPr="00911B6B">
        <w:rPr>
          <w:rFonts w:ascii="Times New Roman" w:eastAsia="Times New Roman" w:hAnsi="Times New Roman" w:cs="Times New Roman"/>
          <w:sz w:val="24"/>
          <w:szCs w:val="24"/>
        </w:rPr>
        <w:t>,</w:t>
      </w:r>
      <w:r w:rsidR="6A5169AC" w:rsidRPr="00911B6B">
        <w:rPr>
          <w:rFonts w:ascii="Times New Roman" w:eastAsia="Times New Roman" w:hAnsi="Times New Roman" w:cs="Times New Roman"/>
          <w:sz w:val="24"/>
          <w:szCs w:val="24"/>
        </w:rPr>
        <w:t xml:space="preserve"> </w:t>
      </w:r>
      <w:r w:rsidRPr="00911B6B">
        <w:rPr>
          <w:rFonts w:ascii="Times New Roman" w:eastAsia="Times New Roman" w:hAnsi="Times New Roman" w:cs="Times New Roman"/>
          <w:sz w:val="24"/>
          <w:szCs w:val="24"/>
        </w:rPr>
        <w:t xml:space="preserve">2). Included in household expenditure is data on the value of consumption because “… current consumption is a better indicator of household welfare than is current income. In a bad </w:t>
      </w:r>
      <w:r w:rsidR="1939010F" w:rsidRPr="00911B6B">
        <w:rPr>
          <w:rFonts w:ascii="Times New Roman" w:eastAsia="Times New Roman" w:hAnsi="Times New Roman" w:cs="Times New Roman"/>
          <w:sz w:val="24"/>
          <w:szCs w:val="24"/>
        </w:rPr>
        <w:t>year,</w:t>
      </w:r>
      <w:r w:rsidRPr="00911B6B">
        <w:rPr>
          <w:rFonts w:ascii="Times New Roman" w:eastAsia="Times New Roman" w:hAnsi="Times New Roman" w:cs="Times New Roman"/>
          <w:sz w:val="24"/>
          <w:szCs w:val="24"/>
        </w:rPr>
        <w:t xml:space="preserve"> the household may appear </w:t>
      </w:r>
      <w:bookmarkStart w:id="0" w:name="_Int_2t7AmX8t"/>
      <w:r w:rsidRPr="00911B6B">
        <w:rPr>
          <w:rFonts w:ascii="Times New Roman" w:eastAsia="Times New Roman" w:hAnsi="Times New Roman" w:cs="Times New Roman"/>
          <w:sz w:val="24"/>
          <w:szCs w:val="24"/>
        </w:rPr>
        <w:t>very poor</w:t>
      </w:r>
      <w:bookmarkEnd w:id="0"/>
      <w:r w:rsidRPr="00911B6B">
        <w:rPr>
          <w:rFonts w:ascii="Times New Roman" w:eastAsia="Times New Roman" w:hAnsi="Times New Roman" w:cs="Times New Roman"/>
          <w:sz w:val="24"/>
          <w:szCs w:val="24"/>
        </w:rPr>
        <w:t xml:space="preserve"> according to current income whereas measurement of current consumption would indicate that the household is in a </w:t>
      </w:r>
      <w:r w:rsidR="5EFC2D76" w:rsidRPr="00911B6B">
        <w:rPr>
          <w:rFonts w:ascii="Times New Roman" w:eastAsia="Times New Roman" w:hAnsi="Times New Roman" w:cs="Times New Roman"/>
          <w:sz w:val="24"/>
          <w:szCs w:val="24"/>
        </w:rPr>
        <w:t>strong</w:t>
      </w:r>
      <w:r w:rsidRPr="00911B6B">
        <w:rPr>
          <w:rFonts w:ascii="Times New Roman" w:eastAsia="Times New Roman" w:hAnsi="Times New Roman" w:cs="Times New Roman"/>
          <w:sz w:val="24"/>
          <w:szCs w:val="24"/>
        </w:rPr>
        <w:t xml:space="preserve"> position over the longer term.” (</w:t>
      </w:r>
      <w:r w:rsidR="4FB516C0" w:rsidRPr="00911B6B">
        <w:rPr>
          <w:rFonts w:ascii="Times New Roman" w:eastAsia="Times New Roman" w:hAnsi="Times New Roman" w:cs="Times New Roman"/>
          <w:color w:val="000000" w:themeColor="text1"/>
          <w:sz w:val="24"/>
          <w:szCs w:val="24"/>
        </w:rPr>
        <w:t>Cameron</w:t>
      </w:r>
      <w:r w:rsidR="25084EA4" w:rsidRPr="00911B6B">
        <w:rPr>
          <w:rFonts w:ascii="Times New Roman" w:eastAsia="Times New Roman" w:hAnsi="Times New Roman" w:cs="Times New Roman"/>
          <w:color w:val="000000" w:themeColor="text1"/>
          <w:sz w:val="24"/>
          <w:szCs w:val="24"/>
        </w:rPr>
        <w:t>,</w:t>
      </w:r>
      <w:r w:rsidR="4FB516C0" w:rsidRPr="00911B6B">
        <w:rPr>
          <w:rFonts w:ascii="Times New Roman" w:eastAsia="Times New Roman" w:hAnsi="Times New Roman" w:cs="Times New Roman"/>
          <w:sz w:val="24"/>
          <w:szCs w:val="24"/>
        </w:rPr>
        <w:t xml:space="preserve"> </w:t>
      </w:r>
      <w:r w:rsidRPr="00911B6B">
        <w:rPr>
          <w:rFonts w:ascii="Times New Roman" w:eastAsia="Times New Roman" w:hAnsi="Times New Roman" w:cs="Times New Roman"/>
          <w:sz w:val="24"/>
          <w:szCs w:val="24"/>
        </w:rPr>
        <w:t xml:space="preserve">11). In the paper </w:t>
      </w:r>
      <w:r w:rsidRPr="00911B6B">
        <w:rPr>
          <w:rFonts w:ascii="Times New Roman" w:eastAsia="Times New Roman" w:hAnsi="Times New Roman" w:cs="Times New Roman"/>
          <w:i/>
          <w:iCs/>
          <w:sz w:val="24"/>
          <w:szCs w:val="24"/>
        </w:rPr>
        <w:t xml:space="preserve">Growth with or without Equity? The distributional impact of Indonesian development, </w:t>
      </w:r>
      <w:r w:rsidRPr="00911B6B">
        <w:rPr>
          <w:rFonts w:ascii="Times New Roman" w:eastAsia="Times New Roman" w:hAnsi="Times New Roman" w:cs="Times New Roman"/>
          <w:sz w:val="24"/>
          <w:szCs w:val="24"/>
        </w:rPr>
        <w:t>Lisa Cameron explores the distribution of household expenditure of this 30-year period</w:t>
      </w:r>
      <w:r w:rsidR="0091484B">
        <w:rPr>
          <w:rFonts w:ascii="Times New Roman" w:eastAsia="Times New Roman" w:hAnsi="Times New Roman" w:cs="Times New Roman"/>
          <w:sz w:val="24"/>
          <w:szCs w:val="24"/>
        </w:rPr>
        <w:t>.</w:t>
      </w:r>
      <w:r w:rsidRPr="00911B6B">
        <w:rPr>
          <w:rFonts w:ascii="Times New Roman" w:eastAsia="Times New Roman" w:hAnsi="Times New Roman" w:cs="Times New Roman"/>
          <w:sz w:val="24"/>
          <w:szCs w:val="24"/>
        </w:rPr>
        <w:t xml:space="preserve"> </w:t>
      </w:r>
      <w:r w:rsidR="00561F32">
        <w:rPr>
          <w:rFonts w:ascii="Times New Roman" w:eastAsia="Times New Roman" w:hAnsi="Times New Roman" w:cs="Times New Roman"/>
          <w:sz w:val="24"/>
          <w:szCs w:val="24"/>
        </w:rPr>
        <w:t xml:space="preserve">In this paper we will be looking deeper at household </w:t>
      </w:r>
      <w:proofErr w:type="gramStart"/>
      <w:r w:rsidR="00561F32">
        <w:rPr>
          <w:rFonts w:ascii="Times New Roman" w:eastAsia="Times New Roman" w:hAnsi="Times New Roman" w:cs="Times New Roman"/>
          <w:sz w:val="24"/>
          <w:szCs w:val="24"/>
        </w:rPr>
        <w:t>expenditure, and</w:t>
      </w:r>
      <w:proofErr w:type="gramEnd"/>
      <w:r w:rsidR="00561F32">
        <w:rPr>
          <w:rFonts w:ascii="Times New Roman" w:eastAsia="Times New Roman" w:hAnsi="Times New Roman" w:cs="Times New Roman"/>
          <w:sz w:val="24"/>
          <w:szCs w:val="24"/>
        </w:rPr>
        <w:t xml:space="preserve"> determine the differences in consumption between urban and rural areas. </w:t>
      </w:r>
    </w:p>
    <w:p w14:paraId="70917FEE" w14:textId="57374B54" w:rsidR="481B031A" w:rsidRPr="00911B6B" w:rsidRDefault="481B031A" w:rsidP="047CD7FA">
      <w:pPr>
        <w:spacing w:line="257" w:lineRule="auto"/>
        <w:jc w:val="center"/>
        <w:rPr>
          <w:rFonts w:ascii="Times New Roman" w:eastAsia="Times New Roman" w:hAnsi="Times New Roman" w:cs="Times New Roman"/>
          <w:b/>
          <w:bCs/>
          <w:sz w:val="24"/>
          <w:szCs w:val="24"/>
        </w:rPr>
      </w:pPr>
      <w:r w:rsidRPr="00911B6B">
        <w:rPr>
          <w:rFonts w:ascii="Times New Roman" w:eastAsia="Times New Roman" w:hAnsi="Times New Roman" w:cs="Times New Roman"/>
          <w:b/>
          <w:bCs/>
          <w:sz w:val="24"/>
          <w:szCs w:val="24"/>
        </w:rPr>
        <w:t>Methods</w:t>
      </w:r>
    </w:p>
    <w:p w14:paraId="7EF94543" w14:textId="00774ED9" w:rsidR="481B031A" w:rsidRPr="00911B6B" w:rsidRDefault="481B031A" w:rsidP="047CD7FA">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In this paper we will be using three indices to measure inequality concerning Indonesian consumption in 2003. </w:t>
      </w:r>
      <w:r w:rsidR="28B43000" w:rsidRPr="00911B6B">
        <w:rPr>
          <w:rFonts w:ascii="Times New Roman" w:eastAsia="Times New Roman" w:hAnsi="Times New Roman" w:cs="Times New Roman"/>
          <w:sz w:val="24"/>
          <w:szCs w:val="24"/>
        </w:rPr>
        <w:t xml:space="preserve">The three indices that we will be computing for this paper are the Gini index, the Palma ratio, and the Atkinson ratio. </w:t>
      </w:r>
      <w:r w:rsidR="69A9467B" w:rsidRPr="00911B6B">
        <w:rPr>
          <w:rFonts w:ascii="Times New Roman" w:eastAsia="Times New Roman" w:hAnsi="Times New Roman" w:cs="Times New Roman"/>
          <w:sz w:val="24"/>
          <w:szCs w:val="24"/>
        </w:rPr>
        <w:t xml:space="preserve">The two types of consumption we will be focusing on are the deliberation between urban and rural consumption. </w:t>
      </w:r>
      <w:r w:rsidR="600240A0" w:rsidRPr="00911B6B">
        <w:rPr>
          <w:rFonts w:ascii="Times New Roman" w:eastAsia="Times New Roman" w:hAnsi="Times New Roman" w:cs="Times New Roman"/>
          <w:sz w:val="24"/>
          <w:szCs w:val="24"/>
        </w:rPr>
        <w:t xml:space="preserve">Our data </w:t>
      </w:r>
      <w:r w:rsidR="5943EF17" w:rsidRPr="00911B6B">
        <w:rPr>
          <w:rFonts w:ascii="Times New Roman" w:eastAsia="Times New Roman" w:hAnsi="Times New Roman" w:cs="Times New Roman"/>
          <w:sz w:val="24"/>
          <w:szCs w:val="24"/>
        </w:rPr>
        <w:t xml:space="preserve">was found via the World Bank Poverty Calculator, and organizes the </w:t>
      </w:r>
      <w:r w:rsidR="7891794D" w:rsidRPr="00911B6B">
        <w:rPr>
          <w:rFonts w:ascii="Times New Roman" w:eastAsia="Times New Roman" w:hAnsi="Times New Roman" w:cs="Times New Roman"/>
          <w:sz w:val="24"/>
          <w:szCs w:val="24"/>
        </w:rPr>
        <w:t xml:space="preserve">data into 10 groups, each group containing </w:t>
      </w:r>
      <w:r w:rsidR="0BE3F186" w:rsidRPr="00911B6B">
        <w:rPr>
          <w:rFonts w:ascii="Times New Roman" w:eastAsia="Times New Roman" w:hAnsi="Times New Roman" w:cs="Times New Roman"/>
          <w:sz w:val="24"/>
          <w:szCs w:val="24"/>
        </w:rPr>
        <w:t xml:space="preserve">the percentage share of each 10% in the group. </w:t>
      </w:r>
    </w:p>
    <w:p w14:paraId="30B71802" w14:textId="4D88714E" w:rsidR="005F2D41" w:rsidRPr="00911B6B" w:rsidRDefault="12BC0085" w:rsidP="005F2D41">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The Gini index is used to measure the distribution of inequality pertaining to consumption across a population. A value of 0 represents perfect equality in the population while a 1 represents perfect inequality. </w:t>
      </w:r>
      <w:r w:rsidR="005F2D41" w:rsidRPr="00911B6B">
        <w:rPr>
          <w:rFonts w:ascii="Times New Roman" w:eastAsia="Times New Roman" w:hAnsi="Times New Roman" w:cs="Times New Roman"/>
          <w:sz w:val="24"/>
          <w:szCs w:val="24"/>
        </w:rPr>
        <w:t xml:space="preserve">The Gini Index </w:t>
      </w:r>
      <w:r w:rsidR="1EE5FDF7" w:rsidRPr="00911B6B">
        <w:rPr>
          <w:rFonts w:ascii="Times New Roman" w:eastAsia="Times New Roman" w:hAnsi="Times New Roman" w:cs="Times New Roman"/>
          <w:sz w:val="24"/>
          <w:szCs w:val="24"/>
        </w:rPr>
        <w:t>is calculated by the</w:t>
      </w:r>
      <w:r w:rsidR="00BC056F" w:rsidRPr="00911B6B">
        <w:rPr>
          <w:rFonts w:ascii="Times New Roman" w:eastAsia="Times New Roman" w:hAnsi="Times New Roman" w:cs="Times New Roman"/>
          <w:sz w:val="24"/>
          <w:szCs w:val="24"/>
        </w:rPr>
        <w:t xml:space="preserve"> following</w:t>
      </w:r>
      <w:r w:rsidR="1EE5FDF7" w:rsidRPr="00911B6B">
        <w:rPr>
          <w:rFonts w:ascii="Times New Roman" w:eastAsia="Times New Roman" w:hAnsi="Times New Roman" w:cs="Times New Roman"/>
          <w:sz w:val="24"/>
          <w:szCs w:val="24"/>
        </w:rPr>
        <w:t xml:space="preserve"> formula</w:t>
      </w:r>
      <w:r w:rsidR="005F2D41" w:rsidRPr="00911B6B">
        <w:rPr>
          <w:rFonts w:ascii="Times New Roman" w:eastAsia="Times New Roman" w:hAnsi="Times New Roman" w:cs="Times New Roman"/>
          <w:sz w:val="24"/>
          <w:szCs w:val="24"/>
        </w:rPr>
        <w:t xml:space="preserve">, </w:t>
      </w:r>
      <w:r w:rsidR="00BC056F" w:rsidRPr="00911B6B">
        <w:rPr>
          <w:rFonts w:ascii="Times New Roman" w:eastAsia="Times New Roman" w:hAnsi="Times New Roman" w:cs="Times New Roman"/>
          <w:sz w:val="24"/>
          <w:szCs w:val="24"/>
        </w:rPr>
        <w:t>w</w:t>
      </w:r>
      <w:r w:rsidR="005F2D41" w:rsidRPr="00911B6B">
        <w:rPr>
          <w:rFonts w:ascii="Times New Roman" w:eastAsia="Times New Roman" w:hAnsi="Times New Roman" w:cs="Times New Roman"/>
          <w:sz w:val="24"/>
          <w:szCs w:val="24"/>
        </w:rPr>
        <w:t xml:space="preserve">here N is the number of bins, in this case 10, and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5F2D41" w:rsidRPr="00911B6B">
        <w:rPr>
          <w:rFonts w:ascii="Times New Roman" w:eastAsia="Times New Roman" w:hAnsi="Times New Roman" w:cs="Times New Roman"/>
          <w:sz w:val="24"/>
          <w:szCs w:val="24"/>
        </w:rPr>
        <w:t xml:space="preserve"> is the value of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5F2D41" w:rsidRPr="00911B6B">
        <w:rPr>
          <w:rFonts w:ascii="Times New Roman" w:eastAsia="Times New Roman" w:hAnsi="Times New Roman" w:cs="Times New Roman"/>
          <w:sz w:val="24"/>
          <w:szCs w:val="24"/>
        </w:rPr>
        <w:t>bin.</w:t>
      </w:r>
    </w:p>
    <w:p w14:paraId="68FE90C8" w14:textId="7B20D067" w:rsidR="481B031A" w:rsidRPr="00911B6B" w:rsidRDefault="1EE5FDF7" w:rsidP="047CD7FA">
      <w:pPr>
        <w:spacing w:line="257" w:lineRule="auto"/>
        <w:ind w:firstLine="720"/>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 </w:t>
      </w:r>
    </w:p>
    <w:p w14:paraId="6DB75AE3" w14:textId="77428B91" w:rsidR="481B031A" w:rsidRPr="00911B6B" w:rsidRDefault="481B031A" w:rsidP="047CD7FA">
      <w:pPr>
        <w:spacing w:line="257" w:lineRule="auto"/>
        <w:jc w:val="center"/>
        <w:rPr>
          <w:rFonts w:ascii="Times New Roman" w:eastAsia="Times New Roman" w:hAnsi="Times New Roman" w:cs="Times New Roman"/>
          <w:sz w:val="24"/>
          <w:szCs w:val="24"/>
        </w:rPr>
      </w:pPr>
      <m:oMathPara>
        <m:oMath>
          <m:r>
            <w:rPr>
              <w:rFonts w:ascii="Cambria Math" w:hAnsi="Cambria Math" w:cs="Times New Roman"/>
              <w:sz w:val="24"/>
              <w:szCs w:val="24"/>
            </w:rPr>
            <m:t>G≈2</m:t>
          </m:r>
          <m:nary>
            <m:naryPr>
              <m:chr m:val="∑"/>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i-</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um>
                    <m:den>
                      <m:r>
                        <w:rPr>
                          <w:rFonts w:ascii="Cambria Math" w:hAnsi="Cambria Math" w:cs="Times New Roman"/>
                          <w:sz w:val="24"/>
                          <w:szCs w:val="24"/>
                        </w:rPr>
                        <m:t>N</m:t>
                      </m:r>
                    </m:den>
                  </m:f>
                </m:e>
              </m:d>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nary>
          <m:r>
            <w:rPr>
              <w:rFonts w:ascii="Cambria Math" w:hAnsi="Cambria Math" w:cs="Times New Roman"/>
              <w:sz w:val="24"/>
              <w:szCs w:val="24"/>
            </w:rPr>
            <m:t>-1</m:t>
          </m:r>
        </m:oMath>
      </m:oMathPara>
    </w:p>
    <w:p w14:paraId="7B6F4331" w14:textId="5C41BDE1" w:rsidR="00BC056F" w:rsidRPr="00911B6B" w:rsidRDefault="12BC0085" w:rsidP="00BC056F">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The Palma ratio is used to measure inequality pertaining to consumption by looking at the ratio between the top 10% and the bottom 40% of consumers</w:t>
      </w:r>
      <w:r w:rsidR="2C67342D" w:rsidRPr="00911B6B">
        <w:rPr>
          <w:rFonts w:ascii="Times New Roman" w:eastAsia="Times New Roman" w:hAnsi="Times New Roman" w:cs="Times New Roman"/>
          <w:sz w:val="24"/>
          <w:szCs w:val="24"/>
        </w:rPr>
        <w:t xml:space="preserve">. A higher ratio result means a higher level of inequality, while a lower result </w:t>
      </w:r>
      <w:r w:rsidR="4FC17984" w:rsidRPr="00911B6B">
        <w:rPr>
          <w:rFonts w:ascii="Times New Roman" w:eastAsia="Times New Roman" w:hAnsi="Times New Roman" w:cs="Times New Roman"/>
          <w:sz w:val="24"/>
          <w:szCs w:val="24"/>
        </w:rPr>
        <w:t>indicated</w:t>
      </w:r>
      <w:r w:rsidR="2C67342D" w:rsidRPr="00911B6B">
        <w:rPr>
          <w:rFonts w:ascii="Times New Roman" w:eastAsia="Times New Roman" w:hAnsi="Times New Roman" w:cs="Times New Roman"/>
          <w:sz w:val="24"/>
          <w:szCs w:val="24"/>
        </w:rPr>
        <w:t xml:space="preserve"> lower levels of inequality. </w:t>
      </w:r>
      <w:r w:rsidR="00BC056F" w:rsidRPr="00911B6B">
        <w:rPr>
          <w:rFonts w:ascii="Times New Roman" w:eastAsia="Times New Roman" w:hAnsi="Times New Roman" w:cs="Times New Roman"/>
          <w:sz w:val="24"/>
          <w:szCs w:val="24"/>
        </w:rPr>
        <w:t>The Palma ratio</w:t>
      </w:r>
      <w:r w:rsidR="340BE593" w:rsidRPr="00911B6B">
        <w:rPr>
          <w:rFonts w:ascii="Times New Roman" w:eastAsia="Times New Roman" w:hAnsi="Times New Roman" w:cs="Times New Roman"/>
          <w:sz w:val="24"/>
          <w:szCs w:val="24"/>
        </w:rPr>
        <w:t xml:space="preserve"> is calculated by the</w:t>
      </w:r>
      <w:r w:rsidR="00BC056F" w:rsidRPr="00911B6B">
        <w:rPr>
          <w:rFonts w:ascii="Times New Roman" w:eastAsia="Times New Roman" w:hAnsi="Times New Roman" w:cs="Times New Roman"/>
          <w:sz w:val="24"/>
          <w:szCs w:val="24"/>
        </w:rPr>
        <w:t xml:space="preserve"> following</w:t>
      </w:r>
      <w:r w:rsidR="340BE593" w:rsidRPr="00911B6B">
        <w:rPr>
          <w:rFonts w:ascii="Times New Roman" w:eastAsia="Times New Roman" w:hAnsi="Times New Roman" w:cs="Times New Roman"/>
          <w:sz w:val="24"/>
          <w:szCs w:val="24"/>
        </w:rPr>
        <w:t xml:space="preserve"> formula</w:t>
      </w:r>
      <w:r w:rsidR="00BC056F" w:rsidRPr="00911B6B">
        <w:rPr>
          <w:rFonts w:ascii="Times New Roman" w:eastAsia="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BC056F" w:rsidRPr="00911B6B">
        <w:rPr>
          <w:rFonts w:ascii="Times New Roman" w:eastAsia="Times New Roman" w:hAnsi="Times New Roman" w:cs="Times New Roman"/>
          <w:sz w:val="24"/>
          <w:szCs w:val="24"/>
        </w:rPr>
        <w:t xml:space="preserve">  is the value of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C056F" w:rsidRPr="00911B6B">
        <w:rPr>
          <w:rFonts w:ascii="Times New Roman" w:eastAsia="Times New Roman" w:hAnsi="Times New Roman" w:cs="Times New Roman"/>
          <w:sz w:val="24"/>
          <w:szCs w:val="24"/>
        </w:rPr>
        <w:t xml:space="preserve"> bin.</w:t>
      </w:r>
    </w:p>
    <w:p w14:paraId="29229631" w14:textId="7671AB2E" w:rsidR="481B031A" w:rsidRPr="00911B6B" w:rsidRDefault="481B031A" w:rsidP="047CD7FA">
      <w:pPr>
        <w:spacing w:line="257" w:lineRule="auto"/>
        <w:rPr>
          <w:rFonts w:ascii="Times New Roman" w:eastAsia="Times New Roman" w:hAnsi="Times New Roman" w:cs="Times New Roman"/>
          <w:sz w:val="24"/>
          <w:szCs w:val="24"/>
        </w:rPr>
      </w:pPr>
    </w:p>
    <w:p w14:paraId="63D0E06B" w14:textId="546DEF10" w:rsidR="481B031A" w:rsidRPr="00911B6B" w:rsidRDefault="481B031A" w:rsidP="047CD7FA">
      <w:pPr>
        <w:spacing w:line="257" w:lineRule="auto"/>
        <w:jc w:val="center"/>
        <w:rPr>
          <w:rFonts w:ascii="Times New Roman" w:eastAsia="Times New Roman" w:hAnsi="Times New Roman" w:cs="Times New Roman"/>
          <w:sz w:val="24"/>
          <w:szCs w:val="24"/>
        </w:rPr>
      </w:pPr>
      <m:oMathPara>
        <m:oMath>
          <m:r>
            <w:rPr>
              <w:rFonts w:ascii="Cambria Math" w:hAnsi="Cambria Math" w:cs="Times New Roman"/>
              <w:sz w:val="24"/>
              <w:szCs w:val="24"/>
            </w:rPr>
            <w:lastRenderedPageBreak/>
            <m:t>r=</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num>
            <m:den>
              <m:nary>
                <m:naryPr>
                  <m:chr m:val="∑"/>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nary>
            </m:den>
          </m:f>
        </m:oMath>
      </m:oMathPara>
    </w:p>
    <w:p w14:paraId="1DF497CF" w14:textId="66617DC5" w:rsidR="481B031A" w:rsidRPr="00911B6B" w:rsidRDefault="2C67342D" w:rsidP="047CD7FA">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The Atkinson ratio is used to </w:t>
      </w:r>
      <w:r w:rsidR="5C3D79BD" w:rsidRPr="00911B6B">
        <w:rPr>
          <w:rFonts w:ascii="Times New Roman" w:eastAsia="Times New Roman" w:hAnsi="Times New Roman" w:cs="Times New Roman"/>
          <w:sz w:val="24"/>
          <w:szCs w:val="24"/>
        </w:rPr>
        <w:t xml:space="preserve">measure how each end of the </w:t>
      </w:r>
      <w:r w:rsidR="064AC69B" w:rsidRPr="00911B6B">
        <w:rPr>
          <w:rFonts w:ascii="Times New Roman" w:eastAsia="Times New Roman" w:hAnsi="Times New Roman" w:cs="Times New Roman"/>
          <w:sz w:val="24"/>
          <w:szCs w:val="24"/>
        </w:rPr>
        <w:t>distribution</w:t>
      </w:r>
      <w:r w:rsidR="5C3D79BD" w:rsidRPr="00911B6B">
        <w:rPr>
          <w:rFonts w:ascii="Times New Roman" w:eastAsia="Times New Roman" w:hAnsi="Times New Roman" w:cs="Times New Roman"/>
          <w:sz w:val="24"/>
          <w:szCs w:val="24"/>
        </w:rPr>
        <w:t xml:space="preserve"> contributes to inequality. A value of 1 indicated a large amount of inequality in the distribution, while a value of 0 </w:t>
      </w:r>
      <w:r w:rsidR="26BFB7E7" w:rsidRPr="00911B6B">
        <w:rPr>
          <w:rFonts w:ascii="Times New Roman" w:eastAsia="Times New Roman" w:hAnsi="Times New Roman" w:cs="Times New Roman"/>
          <w:sz w:val="24"/>
          <w:szCs w:val="24"/>
        </w:rPr>
        <w:t>indicates</w:t>
      </w:r>
      <w:r w:rsidR="5C3D79BD" w:rsidRPr="00911B6B">
        <w:rPr>
          <w:rFonts w:ascii="Times New Roman" w:eastAsia="Times New Roman" w:hAnsi="Times New Roman" w:cs="Times New Roman"/>
          <w:sz w:val="24"/>
          <w:szCs w:val="24"/>
        </w:rPr>
        <w:t xml:space="preserve"> lower amounts of inequality. </w:t>
      </w:r>
      <w:r w:rsidR="00BC056F" w:rsidRPr="00911B6B">
        <w:rPr>
          <w:rFonts w:ascii="Times New Roman" w:eastAsia="Times New Roman" w:hAnsi="Times New Roman" w:cs="Times New Roman"/>
          <w:sz w:val="24"/>
          <w:szCs w:val="24"/>
        </w:rPr>
        <w:t xml:space="preserve">The Atkinson ratio </w:t>
      </w:r>
      <w:r w:rsidR="526AD666" w:rsidRPr="00911B6B">
        <w:rPr>
          <w:rFonts w:ascii="Times New Roman" w:eastAsia="Times New Roman" w:hAnsi="Times New Roman" w:cs="Times New Roman"/>
          <w:sz w:val="24"/>
          <w:szCs w:val="24"/>
        </w:rPr>
        <w:t xml:space="preserve">is calculated by the </w:t>
      </w:r>
      <w:r w:rsidR="00BC056F" w:rsidRPr="00911B6B">
        <w:rPr>
          <w:rFonts w:ascii="Times New Roman" w:eastAsia="Times New Roman" w:hAnsi="Times New Roman" w:cs="Times New Roman"/>
          <w:sz w:val="24"/>
          <w:szCs w:val="24"/>
        </w:rPr>
        <w:t xml:space="preserve">following </w:t>
      </w:r>
      <w:r w:rsidR="526AD666" w:rsidRPr="00911B6B">
        <w:rPr>
          <w:rFonts w:ascii="Times New Roman" w:eastAsia="Times New Roman" w:hAnsi="Times New Roman" w:cs="Times New Roman"/>
          <w:sz w:val="24"/>
          <w:szCs w:val="24"/>
        </w:rPr>
        <w:t>formula</w:t>
      </w:r>
      <w:r w:rsidR="00BC056F" w:rsidRPr="00911B6B">
        <w:rPr>
          <w:rFonts w:ascii="Times New Roman" w:eastAsia="Times New Roman" w:hAnsi="Times New Roman" w:cs="Times New Roman"/>
          <w:sz w:val="24"/>
          <w:szCs w:val="24"/>
        </w:rPr>
        <w:t xml:space="preserve">, where </w:t>
      </w:r>
      <m:oMath>
        <m:r>
          <w:rPr>
            <w:rFonts w:ascii="Cambria Math" w:hAnsi="Cambria Math" w:cs="Times New Roman"/>
            <w:sz w:val="24"/>
            <w:szCs w:val="24"/>
          </w:rPr>
          <m:t>N=10 </m:t>
        </m:r>
      </m:oMath>
      <w:r w:rsidR="00BC056F" w:rsidRPr="33CB9475">
        <w:rPr>
          <w:rFonts w:ascii="Times New Roman" w:eastAsia="Times New Roman" w:hAnsi="Times New Roman" w:cs="Times New Roman"/>
          <w:sz w:val="24"/>
          <w:szCs w:val="24"/>
        </w:rPr>
        <w:t xml:space="preserve">and </w:t>
      </w:r>
      <m:oMath>
        <m:r>
          <w:rPr>
            <w:rFonts w:ascii="Cambria Math" w:hAnsi="Cambria Math" w:cs="Times New Roman"/>
            <w:sz w:val="24"/>
            <w:szCs w:val="24"/>
          </w:rPr>
          <m:t>Geo</m:t>
        </m:r>
        <m:d>
          <m:dPr>
            <m:begChr m:val="["/>
            <m:endChr m:val="]"/>
            <m:ctrlPr>
              <w:rPr>
                <w:rFonts w:ascii="Cambria Math" w:hAnsi="Cambria Math" w:cs="Times New Roman"/>
                <w:sz w:val="24"/>
                <w:szCs w:val="24"/>
              </w:rPr>
            </m:ctrlPr>
          </m:dPr>
          <m:e>
            <m:r>
              <w:rPr>
                <w:rFonts w:ascii="Cambria Math" w:hAnsi="Cambria Math" w:cs="Times New Roman"/>
                <w:sz w:val="24"/>
                <w:szCs w:val="24"/>
              </w:rPr>
              <m:t>f</m:t>
            </m:r>
          </m:e>
        </m:d>
      </m:oMath>
      <w:r w:rsidR="00BC056F" w:rsidRPr="00911B6B">
        <w:rPr>
          <w:rFonts w:ascii="Times New Roman" w:eastAsia="Times New Roman" w:hAnsi="Times New Roman" w:cs="Times New Roman"/>
          <w:sz w:val="24"/>
          <w:szCs w:val="24"/>
        </w:rPr>
        <w:t xml:space="preserve"> is the geometric average of the share held by each bin. </w:t>
      </w:r>
    </w:p>
    <w:p w14:paraId="27031029" w14:textId="50D64CE5" w:rsidR="047CD7FA" w:rsidRPr="00911B6B" w:rsidRDefault="047CD7FA" w:rsidP="047CD7FA">
      <w:pPr>
        <w:spacing w:line="257" w:lineRule="auto"/>
        <w:jc w:val="center"/>
        <w:rPr>
          <w:rFonts w:ascii="Times New Roman" w:eastAsia="Times New Roman" w:hAnsi="Times New Roman" w:cs="Times New Roman"/>
          <w:sz w:val="24"/>
          <w:szCs w:val="24"/>
        </w:rPr>
      </w:pPr>
      <m:oMathPara>
        <m:oMath>
          <m:r>
            <w:rPr>
              <w:rFonts w:ascii="Cambria Math" w:hAnsi="Cambria Math" w:cs="Times New Roman"/>
              <w:sz w:val="24"/>
              <w:szCs w:val="24"/>
            </w:rPr>
            <m:t>A=1-N⋅Geo</m:t>
          </m:r>
          <m:d>
            <m:dPr>
              <m:begChr m:val="["/>
              <m:endChr m:val="]"/>
              <m:ctrlPr>
                <w:rPr>
                  <w:rFonts w:ascii="Cambria Math" w:hAnsi="Cambria Math" w:cs="Times New Roman"/>
                  <w:sz w:val="24"/>
                  <w:szCs w:val="24"/>
                </w:rPr>
              </m:ctrlPr>
            </m:dPr>
            <m:e>
              <m:r>
                <w:rPr>
                  <w:rFonts w:ascii="Cambria Math" w:hAnsi="Cambria Math" w:cs="Times New Roman"/>
                  <w:sz w:val="24"/>
                  <w:szCs w:val="24"/>
                </w:rPr>
                <m:t>f</m:t>
              </m:r>
            </m:e>
          </m:d>
        </m:oMath>
      </m:oMathPara>
    </w:p>
    <w:p w14:paraId="411428C7" w14:textId="5D04D228" w:rsidR="481B031A" w:rsidRPr="00911B6B" w:rsidRDefault="00911B6B" w:rsidP="00F26EB7">
      <w:pPr>
        <w:spacing w:line="257" w:lineRule="auto"/>
        <w:rPr>
          <w:rFonts w:ascii="Times New Roman" w:eastAsia="Times New Roman" w:hAnsi="Times New Roman" w:cs="Times New Roman"/>
          <w:b/>
          <w:bCs/>
          <w:sz w:val="24"/>
          <w:szCs w:val="24"/>
        </w:rPr>
      </w:pPr>
      <w:r w:rsidRPr="33CB9475">
        <w:rPr>
          <w:rFonts w:ascii="Times New Roman" w:eastAsia="Times New Roman" w:hAnsi="Times New Roman" w:cs="Times New Roman"/>
          <w:sz w:val="24"/>
          <w:szCs w:val="24"/>
        </w:rPr>
        <w:t xml:space="preserve">Utilizing these indices, we will calculate an approximation of the inequality of consumption in Indonesia during </w:t>
      </w:r>
      <w:r w:rsidR="0089524D" w:rsidRPr="33CB9475">
        <w:rPr>
          <w:rFonts w:ascii="Times New Roman" w:eastAsia="Times New Roman" w:hAnsi="Times New Roman" w:cs="Times New Roman"/>
          <w:sz w:val="24"/>
          <w:szCs w:val="24"/>
        </w:rPr>
        <w:t xml:space="preserve">the year </w:t>
      </w:r>
      <w:r w:rsidRPr="33CB9475">
        <w:rPr>
          <w:rFonts w:ascii="Times New Roman" w:eastAsia="Times New Roman" w:hAnsi="Times New Roman" w:cs="Times New Roman"/>
          <w:sz w:val="24"/>
          <w:szCs w:val="24"/>
        </w:rPr>
        <w:t>2003.</w:t>
      </w:r>
      <w:r w:rsidR="0089524D" w:rsidRPr="33CB9475">
        <w:rPr>
          <w:rFonts w:ascii="Times New Roman" w:eastAsia="Times New Roman" w:hAnsi="Times New Roman" w:cs="Times New Roman"/>
          <w:sz w:val="24"/>
          <w:szCs w:val="24"/>
        </w:rPr>
        <w:t xml:space="preserve"> However, these indices are not perfect, and </w:t>
      </w:r>
      <w:r w:rsidR="005E1E78" w:rsidRPr="33CB9475">
        <w:rPr>
          <w:rFonts w:ascii="Times New Roman" w:eastAsia="Times New Roman" w:hAnsi="Times New Roman" w:cs="Times New Roman"/>
          <w:sz w:val="24"/>
          <w:szCs w:val="24"/>
        </w:rPr>
        <w:t xml:space="preserve">may not </w:t>
      </w:r>
      <w:r w:rsidR="00230252" w:rsidRPr="33CB9475">
        <w:rPr>
          <w:rFonts w:ascii="Times New Roman" w:eastAsia="Times New Roman" w:hAnsi="Times New Roman" w:cs="Times New Roman"/>
          <w:sz w:val="24"/>
          <w:szCs w:val="24"/>
        </w:rPr>
        <w:t>full</w:t>
      </w:r>
      <w:r w:rsidR="00F26EB7" w:rsidRPr="33CB9475">
        <w:rPr>
          <w:rFonts w:ascii="Times New Roman" w:eastAsia="Times New Roman" w:hAnsi="Times New Roman" w:cs="Times New Roman"/>
          <w:sz w:val="24"/>
          <w:szCs w:val="24"/>
        </w:rPr>
        <w:t xml:space="preserve">y give an </w:t>
      </w:r>
      <w:r w:rsidR="00230252" w:rsidRPr="33CB9475">
        <w:rPr>
          <w:rFonts w:ascii="Times New Roman" w:eastAsia="Times New Roman" w:hAnsi="Times New Roman" w:cs="Times New Roman"/>
          <w:sz w:val="24"/>
          <w:szCs w:val="24"/>
        </w:rPr>
        <w:t xml:space="preserve">estimation of the </w:t>
      </w:r>
      <w:r w:rsidR="002F2AAF" w:rsidRPr="33CB9475">
        <w:rPr>
          <w:rFonts w:ascii="Times New Roman" w:eastAsia="Times New Roman" w:hAnsi="Times New Roman" w:cs="Times New Roman"/>
          <w:sz w:val="24"/>
          <w:szCs w:val="24"/>
        </w:rPr>
        <w:t xml:space="preserve">inequality in the country at the time. </w:t>
      </w:r>
      <w:r w:rsidR="481B031A" w:rsidRPr="00911B6B">
        <w:rPr>
          <w:rFonts w:ascii="Times New Roman" w:eastAsia="Times New Roman" w:hAnsi="Times New Roman" w:cs="Times New Roman"/>
          <w:b/>
          <w:bCs/>
          <w:sz w:val="24"/>
          <w:szCs w:val="24"/>
        </w:rPr>
        <w:t xml:space="preserve">   </w:t>
      </w:r>
    </w:p>
    <w:p w14:paraId="14BCCE5D" w14:textId="019264FB" w:rsidR="5A10BF44" w:rsidRPr="00911B6B" w:rsidRDefault="5A10BF44" w:rsidP="047CD7FA">
      <w:pPr>
        <w:spacing w:line="257" w:lineRule="auto"/>
        <w:jc w:val="center"/>
        <w:rPr>
          <w:rFonts w:ascii="Times New Roman" w:eastAsia="Times New Roman" w:hAnsi="Times New Roman" w:cs="Times New Roman"/>
          <w:b/>
          <w:bCs/>
          <w:sz w:val="24"/>
          <w:szCs w:val="24"/>
        </w:rPr>
      </w:pPr>
    </w:p>
    <w:p w14:paraId="7F583FC5" w14:textId="449FE0C9" w:rsidR="481B031A" w:rsidRDefault="481B031A" w:rsidP="047CD7FA">
      <w:pPr>
        <w:spacing w:line="257" w:lineRule="auto"/>
        <w:jc w:val="center"/>
        <w:rPr>
          <w:rFonts w:ascii="Times New Roman" w:eastAsia="Times New Roman" w:hAnsi="Times New Roman" w:cs="Times New Roman"/>
          <w:b/>
          <w:bCs/>
          <w:sz w:val="24"/>
          <w:szCs w:val="24"/>
        </w:rPr>
      </w:pPr>
      <w:r w:rsidRPr="00911B6B">
        <w:rPr>
          <w:rFonts w:ascii="Times New Roman" w:eastAsia="Times New Roman" w:hAnsi="Times New Roman" w:cs="Times New Roman"/>
          <w:b/>
          <w:bCs/>
          <w:sz w:val="24"/>
          <w:szCs w:val="24"/>
        </w:rPr>
        <w:t>Results</w:t>
      </w:r>
    </w:p>
    <w:p w14:paraId="77604C80" w14:textId="79A8D52B" w:rsidR="008D288F" w:rsidRDefault="006B2D41" w:rsidP="008D288F">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paper, w</w:t>
      </w:r>
      <w:r w:rsidRPr="00911B6B">
        <w:rPr>
          <w:rFonts w:ascii="Times New Roman" w:eastAsia="Times New Roman" w:hAnsi="Times New Roman" w:cs="Times New Roman"/>
          <w:sz w:val="24"/>
          <w:szCs w:val="24"/>
        </w:rPr>
        <w:t>e computed each of the three indices utilizing Excel and then checked the values again using other calculators.</w:t>
      </w:r>
      <w:r>
        <w:rPr>
          <w:rFonts w:ascii="Times New Roman" w:eastAsia="Times New Roman" w:hAnsi="Times New Roman" w:cs="Times New Roman"/>
          <w:sz w:val="24"/>
          <w:szCs w:val="24"/>
        </w:rPr>
        <w:t xml:space="preserve"> The</w:t>
      </w:r>
      <w:r w:rsidR="00AD77DE">
        <w:rPr>
          <w:rFonts w:ascii="Times New Roman" w:eastAsia="Times New Roman" w:hAnsi="Times New Roman" w:cs="Times New Roman"/>
          <w:sz w:val="24"/>
          <w:szCs w:val="24"/>
        </w:rPr>
        <w:t xml:space="preserve"> Gini index, the Palma ratio, and the Atkinson ratio were used as measures of inequality </w:t>
      </w:r>
      <w:r w:rsidR="00180E1B">
        <w:rPr>
          <w:rFonts w:ascii="Times New Roman" w:eastAsia="Times New Roman" w:hAnsi="Times New Roman" w:cs="Times New Roman"/>
          <w:sz w:val="24"/>
          <w:szCs w:val="24"/>
        </w:rPr>
        <w:t>within the analyzed population.</w:t>
      </w:r>
      <w:r w:rsidR="00610F40">
        <w:rPr>
          <w:rFonts w:ascii="Times New Roman" w:eastAsia="Times New Roman" w:hAnsi="Times New Roman" w:cs="Times New Roman"/>
          <w:sz w:val="24"/>
          <w:szCs w:val="24"/>
        </w:rPr>
        <w:t xml:space="preserve"> In general, we would like for a society to be more equal or at minimum, reasonably equal.</w:t>
      </w:r>
      <w:r w:rsidR="00180E1B">
        <w:rPr>
          <w:rFonts w:ascii="Times New Roman" w:eastAsia="Times New Roman" w:hAnsi="Times New Roman" w:cs="Times New Roman"/>
          <w:sz w:val="24"/>
          <w:szCs w:val="24"/>
        </w:rPr>
        <w:t xml:space="preserve"> </w:t>
      </w:r>
      <w:r w:rsidR="00006460">
        <w:rPr>
          <w:rFonts w:ascii="Times New Roman" w:eastAsia="Times New Roman" w:hAnsi="Times New Roman" w:cs="Times New Roman"/>
          <w:sz w:val="24"/>
          <w:szCs w:val="24"/>
        </w:rPr>
        <w:t xml:space="preserve">In </w:t>
      </w:r>
      <w:r w:rsidR="001A6068">
        <w:rPr>
          <w:rFonts w:ascii="Times New Roman" w:eastAsia="Times New Roman" w:hAnsi="Times New Roman" w:cs="Times New Roman"/>
          <w:sz w:val="24"/>
          <w:szCs w:val="24"/>
        </w:rPr>
        <w:t xml:space="preserve">the case of the data found in 2003 Indonesia, we </w:t>
      </w:r>
      <w:r w:rsidR="00C92BB1">
        <w:rPr>
          <w:rFonts w:ascii="Times New Roman" w:eastAsia="Times New Roman" w:hAnsi="Times New Roman" w:cs="Times New Roman"/>
          <w:sz w:val="24"/>
          <w:szCs w:val="24"/>
        </w:rPr>
        <w:t>have summarized the data we found below:</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C92BB1" w14:paraId="672ABFE2" w14:textId="77777777" w:rsidTr="00271699">
        <w:tc>
          <w:tcPr>
            <w:tcW w:w="2337" w:type="dxa"/>
          </w:tcPr>
          <w:p w14:paraId="4C4B700A" w14:textId="67DB2B2A" w:rsidR="00C92BB1" w:rsidRPr="00274F19" w:rsidRDefault="00274F19" w:rsidP="008D288F">
            <w:pPr>
              <w:spacing w:line="257" w:lineRule="auto"/>
              <w:rPr>
                <w:rFonts w:ascii="Times New Roman" w:eastAsia="Times New Roman" w:hAnsi="Times New Roman" w:cs="Times New Roman"/>
                <w:b/>
                <w:bCs/>
                <w:sz w:val="24"/>
                <w:szCs w:val="24"/>
              </w:rPr>
            </w:pPr>
            <w:r w:rsidRPr="00274F19">
              <w:rPr>
                <w:rFonts w:ascii="Times New Roman" w:eastAsia="Times New Roman" w:hAnsi="Times New Roman" w:cs="Times New Roman"/>
                <w:b/>
                <w:bCs/>
                <w:sz w:val="24"/>
                <w:szCs w:val="24"/>
              </w:rPr>
              <w:t>Type</w:t>
            </w:r>
          </w:p>
        </w:tc>
        <w:tc>
          <w:tcPr>
            <w:tcW w:w="2337" w:type="dxa"/>
          </w:tcPr>
          <w:p w14:paraId="0515FC83" w14:textId="073ABF72" w:rsidR="00C92BB1" w:rsidRPr="00274F19" w:rsidRDefault="00274F19" w:rsidP="008D288F">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Gini Index</w:t>
            </w:r>
          </w:p>
        </w:tc>
        <w:tc>
          <w:tcPr>
            <w:tcW w:w="2338" w:type="dxa"/>
          </w:tcPr>
          <w:p w14:paraId="3784EF01" w14:textId="2F7D107A" w:rsidR="00C92BB1" w:rsidRPr="00274F19" w:rsidRDefault="00274F19" w:rsidP="008D288F">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Palma Ratio</w:t>
            </w:r>
          </w:p>
        </w:tc>
        <w:tc>
          <w:tcPr>
            <w:tcW w:w="2338" w:type="dxa"/>
          </w:tcPr>
          <w:p w14:paraId="01D1C2CC" w14:textId="19630E56" w:rsidR="00C92BB1" w:rsidRPr="00274F19" w:rsidRDefault="00274F19" w:rsidP="008D288F">
            <w:pPr>
              <w:spacing w:line="257"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Atkinson Ratio</w:t>
            </w:r>
          </w:p>
        </w:tc>
      </w:tr>
      <w:tr w:rsidR="00EB3DD1" w14:paraId="28B5949F" w14:textId="77777777" w:rsidTr="00271699">
        <w:tc>
          <w:tcPr>
            <w:tcW w:w="2337" w:type="dxa"/>
          </w:tcPr>
          <w:p w14:paraId="6E102EA6" w14:textId="79BABF79" w:rsidR="00EB3DD1" w:rsidRDefault="00EB3DD1" w:rsidP="00EB3DD1">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Urban</w:t>
            </w:r>
          </w:p>
        </w:tc>
        <w:tc>
          <w:tcPr>
            <w:tcW w:w="2337" w:type="dxa"/>
            <w:vAlign w:val="bottom"/>
          </w:tcPr>
          <w:p w14:paraId="7DDA7636" w14:textId="678C7E3D"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0.332351</w:t>
            </w:r>
          </w:p>
        </w:tc>
        <w:tc>
          <w:tcPr>
            <w:tcW w:w="2338" w:type="dxa"/>
            <w:vAlign w:val="bottom"/>
          </w:tcPr>
          <w:p w14:paraId="40F5E2A3" w14:textId="13D3D29D"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1.36376868</w:t>
            </w:r>
          </w:p>
        </w:tc>
        <w:tc>
          <w:tcPr>
            <w:tcW w:w="2338" w:type="dxa"/>
            <w:vAlign w:val="bottom"/>
          </w:tcPr>
          <w:p w14:paraId="34046C25" w14:textId="40438C74"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0.162931256</w:t>
            </w:r>
          </w:p>
        </w:tc>
      </w:tr>
      <w:tr w:rsidR="00EB3DD1" w14:paraId="0B60F97A" w14:textId="77777777" w:rsidTr="00271699">
        <w:tc>
          <w:tcPr>
            <w:tcW w:w="2337" w:type="dxa"/>
          </w:tcPr>
          <w:p w14:paraId="59134EAF" w14:textId="4F037E62" w:rsidR="00EB3DD1" w:rsidRDefault="00EB3DD1" w:rsidP="00EB3DD1">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Rural</w:t>
            </w:r>
          </w:p>
        </w:tc>
        <w:tc>
          <w:tcPr>
            <w:tcW w:w="2337" w:type="dxa"/>
            <w:vAlign w:val="bottom"/>
          </w:tcPr>
          <w:p w14:paraId="54BE6EE2" w14:textId="7A70198D"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0.248327</w:t>
            </w:r>
          </w:p>
        </w:tc>
        <w:tc>
          <w:tcPr>
            <w:tcW w:w="2338" w:type="dxa"/>
            <w:vAlign w:val="bottom"/>
          </w:tcPr>
          <w:p w14:paraId="28B0AFBE" w14:textId="39912724"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0.8825304</w:t>
            </w:r>
          </w:p>
        </w:tc>
        <w:tc>
          <w:tcPr>
            <w:tcW w:w="2338" w:type="dxa"/>
            <w:vAlign w:val="bottom"/>
          </w:tcPr>
          <w:p w14:paraId="1D52C51F" w14:textId="10975FBB" w:rsidR="00EB3DD1" w:rsidRDefault="00EB3DD1" w:rsidP="00EB3DD1">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0.093040504</w:t>
            </w:r>
          </w:p>
        </w:tc>
      </w:tr>
    </w:tbl>
    <w:p w14:paraId="283B76C5" w14:textId="77777777" w:rsidR="00ED513E" w:rsidRDefault="00ED513E" w:rsidP="008D288F">
      <w:pPr>
        <w:spacing w:line="257" w:lineRule="auto"/>
        <w:rPr>
          <w:rFonts w:ascii="Times New Roman" w:eastAsia="Times New Roman" w:hAnsi="Times New Roman" w:cs="Times New Roman"/>
          <w:sz w:val="24"/>
          <w:szCs w:val="24"/>
        </w:rPr>
      </w:pPr>
    </w:p>
    <w:p w14:paraId="462392C2" w14:textId="01072D13" w:rsidR="00EB3BBD" w:rsidRDefault="00C84D79" w:rsidP="008D288F">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shows the Lorenz Curves for the data given in Indonesia</w:t>
      </w:r>
      <w:r w:rsidR="006D262C">
        <w:rPr>
          <w:rFonts w:ascii="Times New Roman" w:eastAsia="Times New Roman" w:hAnsi="Times New Roman" w:cs="Times New Roman"/>
          <w:sz w:val="24"/>
          <w:szCs w:val="24"/>
        </w:rPr>
        <w:t xml:space="preserve">, and it </w:t>
      </w:r>
      <w:r w:rsidR="00AB5DBC">
        <w:rPr>
          <w:rFonts w:ascii="Times New Roman" w:eastAsia="Times New Roman" w:hAnsi="Times New Roman" w:cs="Times New Roman"/>
          <w:sz w:val="24"/>
          <w:szCs w:val="24"/>
        </w:rPr>
        <w:t xml:space="preserve">can be seen that the rural consumption is closer to the line of equality than the urban curve. </w:t>
      </w:r>
      <w:r w:rsidR="00EB3BBD">
        <w:rPr>
          <w:rFonts w:ascii="Times New Roman" w:eastAsia="Times New Roman" w:hAnsi="Times New Roman" w:cs="Times New Roman"/>
          <w:sz w:val="24"/>
          <w:szCs w:val="24"/>
        </w:rPr>
        <w:t xml:space="preserve">Lower values </w:t>
      </w:r>
      <w:r w:rsidR="00C435F0">
        <w:rPr>
          <w:rFonts w:ascii="Times New Roman" w:eastAsia="Times New Roman" w:hAnsi="Times New Roman" w:cs="Times New Roman"/>
          <w:sz w:val="24"/>
          <w:szCs w:val="24"/>
        </w:rPr>
        <w:t xml:space="preserve">indicated that the population was more equal in terms of consumption. These values </w:t>
      </w:r>
      <w:r w:rsidR="00AB5DBC">
        <w:rPr>
          <w:rFonts w:ascii="Times New Roman" w:eastAsia="Times New Roman" w:hAnsi="Times New Roman" w:cs="Times New Roman"/>
          <w:sz w:val="24"/>
          <w:szCs w:val="24"/>
        </w:rPr>
        <w:t>indicate</w:t>
      </w:r>
      <w:r w:rsidR="00C435F0">
        <w:rPr>
          <w:rFonts w:ascii="Times New Roman" w:eastAsia="Times New Roman" w:hAnsi="Times New Roman" w:cs="Times New Roman"/>
          <w:sz w:val="24"/>
          <w:szCs w:val="24"/>
        </w:rPr>
        <w:t xml:space="preserve"> </w:t>
      </w:r>
      <w:r w:rsidR="00AB5DBC">
        <w:rPr>
          <w:rFonts w:ascii="Times New Roman" w:eastAsia="Times New Roman" w:hAnsi="Times New Roman" w:cs="Times New Roman"/>
          <w:sz w:val="24"/>
          <w:szCs w:val="24"/>
        </w:rPr>
        <w:t xml:space="preserve">that urban consumption tends to be more weighted towards the top </w:t>
      </w:r>
      <w:r w:rsidR="00460FA2">
        <w:rPr>
          <w:rFonts w:ascii="Times New Roman" w:eastAsia="Times New Roman" w:hAnsi="Times New Roman" w:cs="Times New Roman"/>
          <w:sz w:val="24"/>
          <w:szCs w:val="24"/>
        </w:rPr>
        <w:t xml:space="preserve">of the population while the rural </w:t>
      </w:r>
      <w:r w:rsidR="0009105B">
        <w:rPr>
          <w:rFonts w:ascii="Times New Roman" w:eastAsia="Times New Roman" w:hAnsi="Times New Roman" w:cs="Times New Roman"/>
          <w:sz w:val="24"/>
          <w:szCs w:val="24"/>
        </w:rPr>
        <w:t xml:space="preserve">value </w:t>
      </w:r>
      <w:r w:rsidR="00460FA2">
        <w:rPr>
          <w:rFonts w:ascii="Times New Roman" w:eastAsia="Times New Roman" w:hAnsi="Times New Roman" w:cs="Times New Roman"/>
          <w:sz w:val="24"/>
          <w:szCs w:val="24"/>
        </w:rPr>
        <w:t xml:space="preserve">indicates that it’s slightly less weighted towards the top of the population. </w:t>
      </w:r>
      <w:r w:rsidR="004557E7">
        <w:rPr>
          <w:rFonts w:ascii="Times New Roman" w:eastAsia="Times New Roman" w:hAnsi="Times New Roman" w:cs="Times New Roman"/>
          <w:sz w:val="24"/>
          <w:szCs w:val="24"/>
        </w:rPr>
        <w:t>They</w:t>
      </w:r>
      <w:r w:rsidR="005209F2">
        <w:rPr>
          <w:rFonts w:ascii="Times New Roman" w:eastAsia="Times New Roman" w:hAnsi="Times New Roman" w:cs="Times New Roman"/>
          <w:sz w:val="24"/>
          <w:szCs w:val="24"/>
        </w:rPr>
        <w:t xml:space="preserve"> are still fairly close to an even distribution</w:t>
      </w:r>
      <w:r w:rsidR="0091484B">
        <w:rPr>
          <w:rFonts w:ascii="Times New Roman" w:eastAsia="Times New Roman" w:hAnsi="Times New Roman" w:cs="Times New Roman"/>
          <w:sz w:val="24"/>
          <w:szCs w:val="24"/>
        </w:rPr>
        <w:t xml:space="preserve"> compared to other places in the world, but it</w:t>
      </w:r>
      <w:r w:rsidR="00EB3BBD">
        <w:rPr>
          <w:rFonts w:ascii="Times New Roman" w:eastAsia="Times New Roman" w:hAnsi="Times New Roman" w:cs="Times New Roman"/>
          <w:sz w:val="24"/>
          <w:szCs w:val="24"/>
        </w:rPr>
        <w:t xml:space="preserve"> i</w:t>
      </w:r>
      <w:r w:rsidR="0091484B">
        <w:rPr>
          <w:rFonts w:ascii="Times New Roman" w:eastAsia="Times New Roman" w:hAnsi="Times New Roman" w:cs="Times New Roman"/>
          <w:sz w:val="24"/>
          <w:szCs w:val="24"/>
        </w:rPr>
        <w:t xml:space="preserve">s still </w:t>
      </w:r>
      <w:r w:rsidR="00EB3BBD">
        <w:rPr>
          <w:rFonts w:ascii="Times New Roman" w:eastAsia="Times New Roman" w:hAnsi="Times New Roman" w:cs="Times New Roman"/>
          <w:sz w:val="24"/>
          <w:szCs w:val="24"/>
        </w:rPr>
        <w:t>somewhat different.</w:t>
      </w:r>
    </w:p>
    <w:p w14:paraId="35CB8453" w14:textId="013C4A9D" w:rsidR="00561F32" w:rsidRPr="008D288F" w:rsidRDefault="00EB3BBD" w:rsidP="008D288F">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the Palma ratio, as mentioned before</w:t>
      </w:r>
      <w:r w:rsidR="00B64973">
        <w:rPr>
          <w:rFonts w:ascii="Times New Roman" w:eastAsia="Times New Roman" w:hAnsi="Times New Roman" w:cs="Times New Roman"/>
          <w:sz w:val="24"/>
          <w:szCs w:val="24"/>
        </w:rPr>
        <w:t>, a lower result indicates lower levels of inequality.</w:t>
      </w:r>
      <w:r w:rsidR="00CD6064">
        <w:rPr>
          <w:rFonts w:ascii="Times New Roman" w:eastAsia="Times New Roman" w:hAnsi="Times New Roman" w:cs="Times New Roman"/>
          <w:sz w:val="24"/>
          <w:szCs w:val="24"/>
        </w:rPr>
        <w:t xml:space="preserve"> And </w:t>
      </w:r>
      <w:r w:rsidR="00D02895">
        <w:rPr>
          <w:rFonts w:ascii="Times New Roman" w:eastAsia="Times New Roman" w:hAnsi="Times New Roman" w:cs="Times New Roman"/>
          <w:sz w:val="24"/>
          <w:szCs w:val="24"/>
        </w:rPr>
        <w:t>the</w:t>
      </w:r>
      <w:r w:rsidR="00CD6064">
        <w:rPr>
          <w:rFonts w:ascii="Times New Roman" w:eastAsia="Times New Roman" w:hAnsi="Times New Roman" w:cs="Times New Roman"/>
          <w:sz w:val="24"/>
          <w:szCs w:val="24"/>
        </w:rPr>
        <w:t xml:space="preserve"> rural </w:t>
      </w:r>
      <w:r w:rsidR="00D02895">
        <w:rPr>
          <w:rFonts w:ascii="Times New Roman" w:eastAsia="Times New Roman" w:hAnsi="Times New Roman" w:cs="Times New Roman"/>
          <w:sz w:val="24"/>
          <w:szCs w:val="24"/>
        </w:rPr>
        <w:t xml:space="preserve">ratio is </w:t>
      </w:r>
      <w:r w:rsidR="00AC3610">
        <w:rPr>
          <w:rFonts w:ascii="Times New Roman" w:eastAsia="Times New Roman" w:hAnsi="Times New Roman" w:cs="Times New Roman"/>
          <w:sz w:val="24"/>
          <w:szCs w:val="24"/>
        </w:rPr>
        <w:t xml:space="preserve">approximately 65% of the urban ratio, </w:t>
      </w:r>
      <w:r w:rsidR="0065096A">
        <w:rPr>
          <w:rFonts w:ascii="Times New Roman" w:eastAsia="Times New Roman" w:hAnsi="Times New Roman" w:cs="Times New Roman"/>
          <w:sz w:val="24"/>
          <w:szCs w:val="24"/>
        </w:rPr>
        <w:t>this shows that</w:t>
      </w:r>
      <w:r w:rsidR="00F73E34">
        <w:rPr>
          <w:rFonts w:ascii="Times New Roman" w:eastAsia="Times New Roman" w:hAnsi="Times New Roman" w:cs="Times New Roman"/>
          <w:sz w:val="24"/>
          <w:szCs w:val="24"/>
        </w:rPr>
        <w:t xml:space="preserve">, like before, rural consumption tends to be more equally distributed than urban consumption. </w:t>
      </w:r>
      <w:r w:rsidR="00141FDA">
        <w:rPr>
          <w:rFonts w:ascii="Times New Roman" w:eastAsia="Times New Roman" w:hAnsi="Times New Roman" w:cs="Times New Roman"/>
          <w:sz w:val="24"/>
          <w:szCs w:val="24"/>
        </w:rPr>
        <w:t>Finally, the Atkinson ratio also</w:t>
      </w:r>
      <w:r w:rsidR="0092057F">
        <w:rPr>
          <w:rFonts w:ascii="Times New Roman" w:eastAsia="Times New Roman" w:hAnsi="Times New Roman" w:cs="Times New Roman"/>
          <w:sz w:val="24"/>
          <w:szCs w:val="24"/>
        </w:rPr>
        <w:t xml:space="preserve"> comes in as lower in the rural metric than in the urban metric. </w:t>
      </w:r>
      <w:r w:rsidR="008720C5">
        <w:rPr>
          <w:rFonts w:ascii="Times New Roman" w:eastAsia="Times New Roman" w:hAnsi="Times New Roman" w:cs="Times New Roman"/>
          <w:sz w:val="24"/>
          <w:szCs w:val="24"/>
        </w:rPr>
        <w:t>Ultimately, all of our data shows</w:t>
      </w:r>
      <w:r w:rsidR="00561F32">
        <w:rPr>
          <w:rFonts w:ascii="Times New Roman" w:eastAsia="Times New Roman" w:hAnsi="Times New Roman" w:cs="Times New Roman"/>
          <w:sz w:val="24"/>
          <w:szCs w:val="24"/>
        </w:rPr>
        <w:t xml:space="preserve"> that </w:t>
      </w:r>
      <w:r w:rsidR="00394842">
        <w:rPr>
          <w:rFonts w:ascii="Times New Roman" w:eastAsia="Times New Roman" w:hAnsi="Times New Roman" w:cs="Times New Roman"/>
          <w:sz w:val="24"/>
          <w:szCs w:val="24"/>
        </w:rPr>
        <w:t xml:space="preserve">urban </w:t>
      </w:r>
      <w:r w:rsidR="008720C5">
        <w:rPr>
          <w:rFonts w:ascii="Times New Roman" w:eastAsia="Times New Roman" w:hAnsi="Times New Roman" w:cs="Times New Roman"/>
          <w:sz w:val="24"/>
          <w:szCs w:val="24"/>
        </w:rPr>
        <w:t xml:space="preserve">consumption tends to be more unequal than rural consumption. </w:t>
      </w:r>
    </w:p>
    <w:p w14:paraId="190F86C0" w14:textId="3F7BCD9F" w:rsidR="5A10BF44" w:rsidRDefault="0029421B" w:rsidP="0029421B">
      <w:pPr>
        <w:spacing w:line="257"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Discussion</w:t>
      </w:r>
    </w:p>
    <w:p w14:paraId="24BD6C14" w14:textId="768AEFF5" w:rsidR="0029421B" w:rsidRPr="0029421B" w:rsidRDefault="0B4FD4F1" w:rsidP="33CB9475">
      <w:pPr>
        <w:spacing w:line="257" w:lineRule="auto"/>
        <w:rPr>
          <w:rFonts w:ascii="Times New Roman" w:eastAsia="Times New Roman" w:hAnsi="Times New Roman" w:cs="Times New Roman"/>
          <w:color w:val="000000" w:themeColor="text1"/>
          <w:sz w:val="24"/>
          <w:szCs w:val="24"/>
        </w:rPr>
      </w:pPr>
      <w:r w:rsidRPr="0B4FD4F1">
        <w:rPr>
          <w:rFonts w:ascii="Times New Roman" w:eastAsia="Times New Roman" w:hAnsi="Times New Roman" w:cs="Times New Roman"/>
          <w:sz w:val="24"/>
          <w:szCs w:val="24"/>
        </w:rPr>
        <w:t xml:space="preserve">In this section of the paper, we will compare and contrast our results to that of Lisa Cameron’s paper </w:t>
      </w:r>
      <w:r w:rsidRPr="0B4FD4F1">
        <w:rPr>
          <w:rFonts w:ascii="Times New Roman" w:eastAsia="Times New Roman" w:hAnsi="Times New Roman" w:cs="Times New Roman"/>
          <w:i/>
          <w:iCs/>
          <w:color w:val="000000" w:themeColor="text1"/>
          <w:sz w:val="24"/>
          <w:szCs w:val="24"/>
        </w:rPr>
        <w:t xml:space="preserve">Growth with or without Equity? The distributional impact of Indonesian development. </w:t>
      </w:r>
      <w:r w:rsidRPr="0B4FD4F1">
        <w:rPr>
          <w:rFonts w:ascii="Times New Roman" w:eastAsia="Times New Roman" w:hAnsi="Times New Roman" w:cs="Times New Roman"/>
          <w:color w:val="000000" w:themeColor="text1"/>
          <w:sz w:val="24"/>
          <w:szCs w:val="24"/>
        </w:rPr>
        <w:t>Our findings show that the Gini index for consumption in urban Indonesia was 0.332351</w:t>
      </w:r>
      <w:r w:rsidRPr="0B4FD4F1">
        <w:rPr>
          <w:rFonts w:ascii="Times New Roman" w:eastAsia="Times New Roman" w:hAnsi="Times New Roman" w:cs="Times New Roman"/>
          <w:sz w:val="24"/>
          <w:szCs w:val="24"/>
        </w:rPr>
        <w:t>. From 1964-</w:t>
      </w:r>
      <w:r w:rsidRPr="0B4FD4F1">
        <w:rPr>
          <w:rFonts w:ascii="Times New Roman" w:eastAsia="Times New Roman" w:hAnsi="Times New Roman" w:cs="Times New Roman"/>
          <w:sz w:val="24"/>
          <w:szCs w:val="24"/>
        </w:rPr>
        <w:lastRenderedPageBreak/>
        <w:t>1999 Cameron showed that the average Gini index for per capita consumption expenditures was .340833. Our results from urban consumption in 2003 show that urban consumption has made progress towards stronger levels of equality. Our results along with Cameron’s results indicate that there is a strong amount of equality in urban consumption. In the case of rural consumption, our results show a Gini index of 0.248327</w:t>
      </w:r>
      <w:r w:rsidRPr="0B4FD4F1">
        <w:rPr>
          <w:rFonts w:ascii="Times New Roman" w:eastAsia="Times New Roman" w:hAnsi="Times New Roman" w:cs="Times New Roman"/>
          <w:color w:val="000000" w:themeColor="text1"/>
          <w:sz w:val="24"/>
          <w:szCs w:val="24"/>
        </w:rPr>
        <w:t xml:space="preserve"> and Cameron’s 30-year average of rural consumption is .2925. Once again, our findings show that rural consumption has made progress towards a better level of equality. The Gini index for rural consumption is lower than urban and Cameron points out that this could be due to faster adaptation of farming technology by smaller land holders, off-farm earnings, and the geographic location of these off-farm activities (Cameron, 4). However, we are unsure how to comprehend the gap between a higher level of equality in rural consumption to that of urban. Cameron attempts to explains this by citing the manufacturing boom in Indonesia, resulting in a higher level of inequality for urban consumption (Cameron, 7). </w:t>
      </w:r>
    </w:p>
    <w:p w14:paraId="2BA045E9" w14:textId="292DB94B" w:rsidR="0029421B" w:rsidRPr="0029421B" w:rsidRDefault="33CB9475" w:rsidP="33CB9475">
      <w:pPr>
        <w:spacing w:line="257" w:lineRule="auto"/>
        <w:rPr>
          <w:rFonts w:ascii="Times New Roman" w:eastAsia="Times New Roman" w:hAnsi="Times New Roman" w:cs="Times New Roman"/>
          <w:color w:val="000000" w:themeColor="text1"/>
          <w:sz w:val="24"/>
          <w:szCs w:val="24"/>
        </w:rPr>
      </w:pPr>
      <w:r w:rsidRPr="33CB9475">
        <w:rPr>
          <w:rFonts w:ascii="Times New Roman" w:eastAsia="Times New Roman" w:hAnsi="Times New Roman" w:cs="Times New Roman"/>
          <w:color w:val="000000" w:themeColor="text1"/>
          <w:sz w:val="24"/>
          <w:szCs w:val="24"/>
        </w:rPr>
        <w:t>The Palma ratio</w:t>
      </w:r>
      <w:r w:rsidR="00AD411A">
        <w:rPr>
          <w:rFonts w:ascii="Times New Roman" w:eastAsia="Times New Roman" w:hAnsi="Times New Roman" w:cs="Times New Roman"/>
          <w:color w:val="000000" w:themeColor="text1"/>
          <w:sz w:val="24"/>
          <w:szCs w:val="24"/>
        </w:rPr>
        <w:t xml:space="preserve"> we calculated</w:t>
      </w:r>
      <w:r w:rsidRPr="33CB9475">
        <w:rPr>
          <w:rFonts w:ascii="Times New Roman" w:eastAsia="Times New Roman" w:hAnsi="Times New Roman" w:cs="Times New Roman"/>
          <w:color w:val="000000" w:themeColor="text1"/>
          <w:sz w:val="24"/>
          <w:szCs w:val="24"/>
        </w:rPr>
        <w:t xml:space="preserve"> for Urban communities was 1.36376868 which represents a substantial degree of inequality. This finding tells us that the top 10% of urban communities have higher expenditures than those in the bottom 40%. Cameron once again points out that the finical crisis hit urban communities harder because sector jobs were lost (Cameron, 9). While urban communities had </w:t>
      </w:r>
      <w:bookmarkStart w:id="1" w:name="_Int_HTb7wxd1"/>
      <w:r w:rsidRPr="33CB9475">
        <w:rPr>
          <w:rFonts w:ascii="Times New Roman" w:eastAsia="Times New Roman" w:hAnsi="Times New Roman" w:cs="Times New Roman"/>
          <w:color w:val="000000" w:themeColor="text1"/>
          <w:sz w:val="24"/>
          <w:szCs w:val="24"/>
        </w:rPr>
        <w:t>a high level</w:t>
      </w:r>
      <w:bookmarkEnd w:id="1"/>
      <w:r w:rsidRPr="33CB9475">
        <w:rPr>
          <w:rFonts w:ascii="Times New Roman" w:eastAsia="Times New Roman" w:hAnsi="Times New Roman" w:cs="Times New Roman"/>
          <w:color w:val="000000" w:themeColor="text1"/>
          <w:sz w:val="24"/>
          <w:szCs w:val="24"/>
        </w:rPr>
        <w:t xml:space="preserve"> of inequality, rural communities had a Palma ratio 0.8825304 which tells us that the top 10% of rural communities do consume a significant amount more than the bottom 40%. Cameron alludes that this level of equality could be a result of better agricultural prices between crops grown on small plots and large plots (Cameron, 4). </w:t>
      </w:r>
    </w:p>
    <w:p w14:paraId="2E1B1653" w14:textId="08B9C9D2" w:rsidR="0029421B" w:rsidRPr="0029421B" w:rsidRDefault="33CB9475" w:rsidP="33CB9475">
      <w:pPr>
        <w:spacing w:line="257" w:lineRule="auto"/>
        <w:rPr>
          <w:rFonts w:ascii="Times New Roman" w:eastAsia="Times New Roman" w:hAnsi="Times New Roman" w:cs="Times New Roman"/>
          <w:sz w:val="24"/>
          <w:szCs w:val="24"/>
        </w:rPr>
      </w:pPr>
      <w:r w:rsidRPr="33CB9475">
        <w:rPr>
          <w:rFonts w:ascii="Times New Roman" w:eastAsia="Times New Roman" w:hAnsi="Times New Roman" w:cs="Times New Roman"/>
          <w:color w:val="000000" w:themeColor="text1"/>
          <w:sz w:val="24"/>
          <w:szCs w:val="24"/>
        </w:rPr>
        <w:t>The Atkinson ratio for urban consumption was 0.162931256</w:t>
      </w:r>
      <w:r w:rsidRPr="33CB9475">
        <w:rPr>
          <w:rFonts w:ascii="Times New Roman" w:eastAsia="Times New Roman" w:hAnsi="Times New Roman" w:cs="Times New Roman"/>
          <w:sz w:val="24"/>
          <w:szCs w:val="24"/>
        </w:rPr>
        <w:t xml:space="preserve"> and this finding tells us that the lower percentiles of urban consumption were the main contributors to the level of inequality. Cameron points out that large increases in equality in urban cities are the main contributor to urban inequality (Cameron, 7). For rural communities, an Atkinson ratio of 0.093040504 was observed and shows that the bottom 10% of rural households contribute the most to inequality. </w:t>
      </w:r>
    </w:p>
    <w:p w14:paraId="3C552E52" w14:textId="38C76846" w:rsidR="0029421B" w:rsidRPr="0029421B" w:rsidRDefault="33CB9475" w:rsidP="33CB9475">
      <w:pPr>
        <w:spacing w:line="257" w:lineRule="auto"/>
        <w:rPr>
          <w:rFonts w:ascii="Times New Roman" w:eastAsia="Times New Roman" w:hAnsi="Times New Roman" w:cs="Times New Roman"/>
          <w:color w:val="000000" w:themeColor="text1"/>
          <w:sz w:val="24"/>
          <w:szCs w:val="24"/>
        </w:rPr>
      </w:pPr>
      <w:r w:rsidRPr="33CB9475">
        <w:rPr>
          <w:rFonts w:ascii="Times New Roman" w:eastAsia="Times New Roman" w:hAnsi="Times New Roman" w:cs="Times New Roman"/>
          <w:color w:val="000000" w:themeColor="text1"/>
          <w:sz w:val="24"/>
          <w:szCs w:val="24"/>
        </w:rPr>
        <w:t>Overall, the decreased level of inequality in rural communities was a</w:t>
      </w:r>
      <w:r w:rsidR="00AD411A">
        <w:rPr>
          <w:rFonts w:ascii="Times New Roman" w:eastAsia="Times New Roman" w:hAnsi="Times New Roman" w:cs="Times New Roman"/>
          <w:color w:val="000000" w:themeColor="text1"/>
          <w:sz w:val="24"/>
          <w:szCs w:val="24"/>
        </w:rPr>
        <w:t xml:space="preserve"> feat of achievement </w:t>
      </w:r>
      <w:r w:rsidRPr="33CB9475">
        <w:rPr>
          <w:rFonts w:ascii="Times New Roman" w:eastAsia="Times New Roman" w:hAnsi="Times New Roman" w:cs="Times New Roman"/>
          <w:color w:val="000000" w:themeColor="text1"/>
          <w:sz w:val="24"/>
          <w:szCs w:val="24"/>
        </w:rPr>
        <w:t xml:space="preserve">for Indonesia. However, there was a substantial increase in urban inequality which can be attributed to the manufacturing boom and the </w:t>
      </w:r>
      <w:bookmarkStart w:id="2" w:name="_Int_EQPTU1ta"/>
      <w:r w:rsidRPr="33CB9475">
        <w:rPr>
          <w:rFonts w:ascii="Times New Roman" w:eastAsia="Times New Roman" w:hAnsi="Times New Roman" w:cs="Times New Roman"/>
          <w:color w:val="000000" w:themeColor="text1"/>
          <w:sz w:val="24"/>
          <w:szCs w:val="24"/>
        </w:rPr>
        <w:t>financial crisis</w:t>
      </w:r>
      <w:bookmarkEnd w:id="2"/>
      <w:r w:rsidRPr="33CB9475">
        <w:rPr>
          <w:rFonts w:ascii="Times New Roman" w:eastAsia="Times New Roman" w:hAnsi="Times New Roman" w:cs="Times New Roman"/>
          <w:color w:val="000000" w:themeColor="text1"/>
          <w:sz w:val="24"/>
          <w:szCs w:val="24"/>
        </w:rPr>
        <w:t>. Overall consumption equality in Indonesia is decent but a rise in urban communities is a problem that the Indonesian government should act on.</w:t>
      </w:r>
    </w:p>
    <w:p w14:paraId="19E87CAC" w14:textId="253D4DB7" w:rsidR="0029421B" w:rsidRPr="0029421B" w:rsidRDefault="0029421B" w:rsidP="33CB9475">
      <w:pPr>
        <w:spacing w:line="257" w:lineRule="auto"/>
        <w:rPr>
          <w:rFonts w:ascii="Times New Roman" w:eastAsia="Times New Roman" w:hAnsi="Times New Roman" w:cs="Times New Roman"/>
          <w:sz w:val="24"/>
          <w:szCs w:val="24"/>
        </w:rPr>
      </w:pPr>
    </w:p>
    <w:p w14:paraId="782D2EDA" w14:textId="2C0ACA99" w:rsidR="481B031A" w:rsidRPr="00911B6B" w:rsidRDefault="481B031A" w:rsidP="047CD7FA">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 </w:t>
      </w:r>
    </w:p>
    <w:p w14:paraId="373D80CA" w14:textId="6141C3F5" w:rsidR="5A10BF44" w:rsidRPr="00911B6B" w:rsidRDefault="5A10BF44" w:rsidP="047CD7FA">
      <w:pPr>
        <w:spacing w:line="257" w:lineRule="auto"/>
        <w:rPr>
          <w:rFonts w:ascii="Times New Roman" w:eastAsia="Times New Roman" w:hAnsi="Times New Roman" w:cs="Times New Roman"/>
          <w:sz w:val="24"/>
          <w:szCs w:val="24"/>
        </w:rPr>
      </w:pPr>
    </w:p>
    <w:p w14:paraId="36294E04" w14:textId="0DD727DB" w:rsidR="5A10BF44" w:rsidRPr="00911B6B" w:rsidRDefault="5A10BF44" w:rsidP="047CD7FA">
      <w:pPr>
        <w:spacing w:line="257" w:lineRule="auto"/>
        <w:rPr>
          <w:rFonts w:ascii="Times New Roman" w:eastAsia="Times New Roman" w:hAnsi="Times New Roman" w:cs="Times New Roman"/>
          <w:sz w:val="24"/>
          <w:szCs w:val="24"/>
        </w:rPr>
      </w:pPr>
    </w:p>
    <w:p w14:paraId="3BA69022" w14:textId="3499C00E" w:rsidR="00852E71" w:rsidRDefault="481B031A" w:rsidP="008A159D">
      <w:pPr>
        <w:spacing w:line="257" w:lineRule="auto"/>
        <w:rPr>
          <w:rFonts w:ascii="Times New Roman" w:eastAsia="Times New Roman" w:hAnsi="Times New Roman" w:cs="Times New Roman"/>
          <w:sz w:val="24"/>
          <w:szCs w:val="24"/>
        </w:rPr>
      </w:pPr>
      <w:r w:rsidRPr="00911B6B">
        <w:rPr>
          <w:rFonts w:ascii="Times New Roman" w:eastAsia="Times New Roman" w:hAnsi="Times New Roman" w:cs="Times New Roman"/>
          <w:sz w:val="24"/>
          <w:szCs w:val="24"/>
        </w:rPr>
        <w:t xml:space="preserve"> </w:t>
      </w:r>
    </w:p>
    <w:p w14:paraId="3DFC4554" w14:textId="77777777" w:rsidR="00AE6E27" w:rsidRDefault="00AE6E27">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58CD0146" w14:textId="2CE3E606" w:rsidR="00852E71" w:rsidRPr="00852E71" w:rsidRDefault="00852E71" w:rsidP="00852E71">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References</w:t>
      </w:r>
    </w:p>
    <w:p w14:paraId="7BD66A0A" w14:textId="7FF44376" w:rsidR="00275AEB" w:rsidRPr="00852E71" w:rsidRDefault="481B031A" w:rsidP="007A05A5">
      <w:pPr>
        <w:ind w:left="720" w:hanging="720"/>
        <w:rPr>
          <w:rFonts w:ascii="Times New Roman" w:eastAsia="Times New Roman" w:hAnsi="Times New Roman" w:cs="Times New Roman"/>
          <w:sz w:val="24"/>
          <w:szCs w:val="24"/>
        </w:rPr>
      </w:pPr>
      <w:r w:rsidRPr="00911B6B">
        <w:rPr>
          <w:rFonts w:ascii="Times New Roman" w:eastAsia="Times New Roman" w:hAnsi="Times New Roman" w:cs="Times New Roman"/>
          <w:color w:val="000000" w:themeColor="text1"/>
          <w:sz w:val="24"/>
          <w:szCs w:val="24"/>
        </w:rPr>
        <w:t xml:space="preserve">Cameron, Lisa. 2002. “Growth with or without Equity? The Distributional Impact of Indonesian Development.” </w:t>
      </w:r>
      <w:r w:rsidRPr="00911B6B">
        <w:rPr>
          <w:rFonts w:ascii="Times New Roman" w:eastAsia="Times New Roman" w:hAnsi="Times New Roman" w:cs="Times New Roman"/>
          <w:i/>
          <w:iCs/>
          <w:sz w:val="24"/>
          <w:szCs w:val="24"/>
        </w:rPr>
        <w:t>Asian-Pacific Economic Literature</w:t>
      </w:r>
      <w:r w:rsidRPr="00911B6B">
        <w:rPr>
          <w:rFonts w:ascii="Times New Roman" w:eastAsia="Times New Roman" w:hAnsi="Times New Roman" w:cs="Times New Roman"/>
          <w:sz w:val="24"/>
          <w:szCs w:val="24"/>
        </w:rPr>
        <w:t xml:space="preserve"> 16 (2): 1. doi:10.1111/1467-8411.00119.</w:t>
      </w:r>
      <w:r w:rsidR="00275AEB" w:rsidRPr="33CB9475">
        <w:rPr>
          <w:rFonts w:ascii="Times New Roman" w:eastAsia="Times New Roman" w:hAnsi="Times New Roman" w:cs="Times New Roman"/>
          <w:sz w:val="24"/>
          <w:szCs w:val="24"/>
        </w:rPr>
        <w:t xml:space="preserve"> </w:t>
      </w:r>
    </w:p>
    <w:p w14:paraId="100FACED" w14:textId="55F2776F" w:rsidR="00275AEB" w:rsidRPr="00275AEB" w:rsidRDefault="00275AEB" w:rsidP="00275AEB">
      <w:pPr>
        <w:ind w:left="720" w:hanging="720"/>
        <w:rPr>
          <w:rFonts w:ascii="Times New Roman" w:eastAsia="Times New Roman" w:hAnsi="Times New Roman" w:cs="Times New Roman"/>
          <w:sz w:val="24"/>
          <w:szCs w:val="24"/>
        </w:rPr>
      </w:pPr>
      <w:r w:rsidRPr="00275AEB">
        <w:rPr>
          <w:rFonts w:ascii="Times New Roman" w:eastAsia="Times New Roman" w:hAnsi="Times New Roman" w:cs="Times New Roman"/>
          <w:sz w:val="24"/>
          <w:szCs w:val="24"/>
        </w:rPr>
        <w:t xml:space="preserve">United Nations Department of Economic and Social Affairs (2015), </w:t>
      </w:r>
      <w:r w:rsidRPr="00275AEB">
        <w:rPr>
          <w:rFonts w:ascii="Times New Roman" w:eastAsia="Times New Roman" w:hAnsi="Times New Roman" w:cs="Times New Roman"/>
          <w:i/>
          <w:iCs/>
          <w:sz w:val="24"/>
          <w:szCs w:val="24"/>
        </w:rPr>
        <w:t>Development Issues #2: Inequality Measurement</w:t>
      </w:r>
      <w:r w:rsidRPr="00275AEB">
        <w:rPr>
          <w:rFonts w:ascii="Times New Roman" w:eastAsia="Times New Roman" w:hAnsi="Times New Roman" w:cs="Times New Roman"/>
          <w:sz w:val="24"/>
          <w:szCs w:val="24"/>
        </w:rPr>
        <w:t xml:space="preserve">. </w:t>
      </w:r>
      <w:hyperlink r:id="rId6">
        <w:r w:rsidR="33CB9475" w:rsidRPr="33CB9475">
          <w:rPr>
            <w:rFonts w:ascii="Times New Roman" w:eastAsia="Times New Roman" w:hAnsi="Times New Roman" w:cs="Times New Roman"/>
            <w:color w:val="0000FF"/>
            <w:sz w:val="24"/>
            <w:szCs w:val="24"/>
            <w:u w:val="single"/>
          </w:rPr>
          <w:t xml:space="preserve">https://www.un.org/development/desa/dpad/publication/no-2-inequality-measurement/ </w:t>
        </w:r>
      </w:hyperlink>
      <w:r w:rsidR="33CB9475" w:rsidRPr="33CB9475">
        <w:rPr>
          <w:rFonts w:ascii="Times New Roman" w:eastAsia="Times New Roman" w:hAnsi="Times New Roman" w:cs="Times New Roman"/>
          <w:sz w:val="24"/>
          <w:szCs w:val="24"/>
        </w:rPr>
        <w:t>Accessed on 2023-01-29.</w:t>
      </w:r>
    </w:p>
    <w:p w14:paraId="4469BA78" w14:textId="77777777" w:rsidR="00275AEB" w:rsidRPr="00275AEB" w:rsidRDefault="00275AEB" w:rsidP="00275AEB">
      <w:pPr>
        <w:spacing w:before="100" w:beforeAutospacing="1" w:after="100" w:afterAutospacing="1" w:line="240" w:lineRule="auto"/>
        <w:ind w:left="720" w:hanging="720"/>
        <w:rPr>
          <w:rFonts w:ascii="Times New Roman" w:eastAsia="Times New Roman" w:hAnsi="Times New Roman" w:cs="Times New Roman"/>
          <w:sz w:val="24"/>
          <w:szCs w:val="24"/>
        </w:rPr>
      </w:pPr>
      <w:r w:rsidRPr="00275AEB">
        <w:rPr>
          <w:rFonts w:ascii="Times New Roman" w:eastAsia="Times New Roman" w:hAnsi="Times New Roman" w:cs="Times New Roman"/>
          <w:sz w:val="24"/>
          <w:szCs w:val="24"/>
        </w:rPr>
        <w:t>World Bank (2023), Poverty and Inequality Platform (version 20220909_2017_01_02_PROD) [data set]. pip.worldbank.org. Accessed on 2023-01-29.</w:t>
      </w:r>
    </w:p>
    <w:p w14:paraId="1B6E0C54" w14:textId="2723542E" w:rsidR="481B031A" w:rsidRPr="00911B6B" w:rsidRDefault="481B031A" w:rsidP="002F5B8E">
      <w:pPr>
        <w:spacing w:line="257" w:lineRule="auto"/>
        <w:ind w:left="720" w:hanging="720"/>
        <w:rPr>
          <w:rFonts w:ascii="Times New Roman" w:eastAsia="Times New Roman" w:hAnsi="Times New Roman" w:cs="Times New Roman"/>
          <w:sz w:val="24"/>
          <w:szCs w:val="24"/>
        </w:rPr>
      </w:pPr>
    </w:p>
    <w:p w14:paraId="3D658766" w14:textId="11734E7B" w:rsidR="5A10BF44" w:rsidRPr="00911B6B" w:rsidRDefault="5A10BF44" w:rsidP="047CD7FA">
      <w:pPr>
        <w:spacing w:line="257" w:lineRule="auto"/>
        <w:rPr>
          <w:rFonts w:ascii="Times New Roman" w:eastAsia="Times New Roman" w:hAnsi="Times New Roman" w:cs="Times New Roman"/>
          <w:sz w:val="24"/>
          <w:szCs w:val="24"/>
        </w:rPr>
      </w:pPr>
    </w:p>
    <w:p w14:paraId="05CA56DA" w14:textId="5F80D1F7" w:rsidR="00852E71" w:rsidRDefault="00852E7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03CDDD" w14:textId="5F09D675" w:rsidR="5A10BF44" w:rsidRDefault="00852E71" w:rsidP="00852E71">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Index</w:t>
      </w:r>
    </w:p>
    <w:p w14:paraId="7AA967BE" w14:textId="7A219498" w:rsidR="00852E71" w:rsidRPr="00852E71" w:rsidRDefault="00852E71" w:rsidP="00852E71">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DF29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14:paraId="044117D1" w14:textId="0F7049FF" w:rsidR="00852E71" w:rsidRPr="00852E71" w:rsidRDefault="00667323" w:rsidP="00852E71">
      <w:pPr>
        <w:jc w:val="center"/>
        <w:rPr>
          <w:rFonts w:ascii="Times New Roman" w:eastAsia="Times New Roman" w:hAnsi="Times New Roman" w:cs="Times New Roman"/>
          <w:b/>
          <w:bCs/>
          <w:sz w:val="24"/>
          <w:szCs w:val="24"/>
        </w:rPr>
      </w:pPr>
      <w:r>
        <w:rPr>
          <w:noProof/>
        </w:rPr>
        <w:drawing>
          <wp:inline distT="0" distB="0" distL="0" distR="0" wp14:anchorId="61D385AA" wp14:editId="0ABBB649">
            <wp:extent cx="4572000" cy="2743200"/>
            <wp:effectExtent l="0" t="0" r="0" b="0"/>
            <wp:docPr id="1" name="Chart 1">
              <a:extLst xmlns:a="http://schemas.openxmlformats.org/drawingml/2006/main">
                <a:ext uri="{FF2B5EF4-FFF2-40B4-BE49-F238E27FC236}">
                  <a16:creationId xmlns:a16="http://schemas.microsoft.com/office/drawing/2014/main" id="{E186F99F-A16D-F85D-9CDE-EE3EAADE7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852E71" w:rsidRPr="00852E7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435BE" w14:textId="77777777" w:rsidR="00306CF2" w:rsidRDefault="00306CF2" w:rsidP="00E00E32">
      <w:pPr>
        <w:spacing w:after="0" w:line="240" w:lineRule="auto"/>
      </w:pPr>
      <w:r>
        <w:separator/>
      </w:r>
    </w:p>
  </w:endnote>
  <w:endnote w:type="continuationSeparator" w:id="0">
    <w:p w14:paraId="3B30794A" w14:textId="77777777" w:rsidR="00306CF2" w:rsidRDefault="00306CF2" w:rsidP="00E00E32">
      <w:pPr>
        <w:spacing w:after="0" w:line="240" w:lineRule="auto"/>
      </w:pPr>
      <w:r>
        <w:continuationSeparator/>
      </w:r>
    </w:p>
  </w:endnote>
  <w:endnote w:type="continuationNotice" w:id="1">
    <w:p w14:paraId="06C83F73" w14:textId="77777777" w:rsidR="00306CF2" w:rsidRDefault="00306C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4FD4F1" w14:paraId="23F75815" w14:textId="77777777" w:rsidTr="0B4FD4F1">
      <w:trPr>
        <w:trHeight w:val="300"/>
      </w:trPr>
      <w:tc>
        <w:tcPr>
          <w:tcW w:w="3120" w:type="dxa"/>
        </w:tcPr>
        <w:p w14:paraId="4B82E08C" w14:textId="0ACB28C6" w:rsidR="0B4FD4F1" w:rsidRDefault="0B4FD4F1" w:rsidP="0B4FD4F1">
          <w:pPr>
            <w:pStyle w:val="Header"/>
            <w:ind w:left="-115"/>
          </w:pPr>
        </w:p>
      </w:tc>
      <w:tc>
        <w:tcPr>
          <w:tcW w:w="3120" w:type="dxa"/>
        </w:tcPr>
        <w:p w14:paraId="4389CA7A" w14:textId="0E437A71" w:rsidR="0B4FD4F1" w:rsidRDefault="0B4FD4F1" w:rsidP="0B4FD4F1">
          <w:pPr>
            <w:pStyle w:val="Header"/>
            <w:jc w:val="center"/>
          </w:pPr>
        </w:p>
      </w:tc>
      <w:tc>
        <w:tcPr>
          <w:tcW w:w="3120" w:type="dxa"/>
        </w:tcPr>
        <w:p w14:paraId="1690F5E1" w14:textId="40DF6E7D" w:rsidR="0B4FD4F1" w:rsidRDefault="0B4FD4F1" w:rsidP="0B4FD4F1">
          <w:pPr>
            <w:pStyle w:val="Header"/>
            <w:ind w:right="-115"/>
            <w:jc w:val="right"/>
          </w:pPr>
        </w:p>
      </w:tc>
    </w:tr>
  </w:tbl>
  <w:p w14:paraId="1DBBB5EB" w14:textId="5F76C8E3" w:rsidR="0B4FD4F1" w:rsidRDefault="0B4FD4F1" w:rsidP="0B4FD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1566B" w14:textId="77777777" w:rsidR="00306CF2" w:rsidRDefault="00306CF2" w:rsidP="00E00E32">
      <w:pPr>
        <w:spacing w:after="0" w:line="240" w:lineRule="auto"/>
      </w:pPr>
      <w:r>
        <w:separator/>
      </w:r>
    </w:p>
  </w:footnote>
  <w:footnote w:type="continuationSeparator" w:id="0">
    <w:p w14:paraId="38C1C97E" w14:textId="77777777" w:rsidR="00306CF2" w:rsidRDefault="00306CF2" w:rsidP="00E00E32">
      <w:pPr>
        <w:spacing w:after="0" w:line="240" w:lineRule="auto"/>
      </w:pPr>
      <w:r>
        <w:continuationSeparator/>
      </w:r>
    </w:p>
  </w:footnote>
  <w:footnote w:type="continuationNotice" w:id="1">
    <w:p w14:paraId="414737BF" w14:textId="77777777" w:rsidR="00306CF2" w:rsidRDefault="00306C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D931" w14:textId="468EC2BD" w:rsidR="00E00E32" w:rsidRDefault="0B4FD4F1" w:rsidP="0B4FD4F1">
    <w:pPr>
      <w:pStyle w:val="Header"/>
      <w:rPr>
        <w:rFonts w:ascii="Times New Roman" w:eastAsia="Times New Roman" w:hAnsi="Times New Roman" w:cs="Times New Roman"/>
        <w:sz w:val="24"/>
        <w:szCs w:val="24"/>
      </w:rPr>
    </w:pPr>
    <w:r w:rsidRPr="0B4FD4F1">
      <w:rPr>
        <w:rFonts w:ascii="Times New Roman" w:eastAsia="Times New Roman" w:hAnsi="Times New Roman" w:cs="Times New Roman"/>
        <w:sz w:val="24"/>
        <w:szCs w:val="24"/>
      </w:rPr>
      <w:t>Abdur-Rahman Khwaja &amp; Andrew Kotarski</w:t>
    </w:r>
  </w:p>
  <w:p w14:paraId="535DB61F" w14:textId="45F8043E" w:rsidR="0B4FD4F1" w:rsidRDefault="0B4FD4F1" w:rsidP="0B4FD4F1">
    <w:pPr>
      <w:pStyle w:val="Header"/>
      <w:rPr>
        <w:rFonts w:ascii="Times New Roman" w:eastAsia="Times New Roman" w:hAnsi="Times New Roman" w:cs="Times New Roman"/>
        <w:b/>
        <w:bCs/>
        <w:sz w:val="24"/>
        <w:szCs w:val="24"/>
      </w:rPr>
    </w:pPr>
    <w:r w:rsidRPr="0B4FD4F1">
      <w:rPr>
        <w:rFonts w:ascii="Times New Roman" w:eastAsia="Times New Roman" w:hAnsi="Times New Roman" w:cs="Times New Roman"/>
        <w:b/>
        <w:bCs/>
        <w:sz w:val="24"/>
        <w:szCs w:val="24"/>
      </w:rPr>
      <w:t>Consumption in Indonesia 2003</w:t>
    </w:r>
  </w:p>
</w:hdr>
</file>

<file path=word/intelligence2.xml><?xml version="1.0" encoding="utf-8"?>
<int2:intelligence xmlns:int2="http://schemas.microsoft.com/office/intelligence/2020/intelligence" xmlns:oel="http://schemas.microsoft.com/office/2019/extlst">
  <int2:observations>
    <int2:textHash int2:hashCode="6vFprdHV4aL/wE" int2:id="smoppvgU">
      <int2:state int2:value="Rejected" int2:type="LegacyProofing"/>
    </int2:textHash>
    <int2:bookmark int2:bookmarkName="_Int_EQPTU1ta" int2:invalidationBookmarkName="" int2:hashCode="4ot8XnCB8oZZXd" int2:id="L8uUgPEu">
      <int2:state int2:value="Rejected" int2:type="AugLoop_Text_Critique"/>
    </int2:bookmark>
    <int2:bookmark int2:bookmarkName="_Int_2t7AmX8t" int2:invalidationBookmarkName="" int2:hashCode="nQlwnPoUzr/dOn" int2:id="z9kcNPFC">
      <int2:state int2:value="Rejected" int2:type="AugLoop_Text_Critique"/>
    </int2:bookmark>
    <int2:bookmark int2:bookmarkName="_Int_HTb7wxd1" int2:invalidationBookmarkName="" int2:hashCode="yzlcffR8h38bBG" int2:id="SCIbzOtI">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DAFC0A"/>
    <w:rsid w:val="00006460"/>
    <w:rsid w:val="00015DDD"/>
    <w:rsid w:val="0009105B"/>
    <w:rsid w:val="000947D3"/>
    <w:rsid w:val="000A26F4"/>
    <w:rsid w:val="001260E2"/>
    <w:rsid w:val="00141FDA"/>
    <w:rsid w:val="00180E1B"/>
    <w:rsid w:val="001A6068"/>
    <w:rsid w:val="00220BA2"/>
    <w:rsid w:val="00230252"/>
    <w:rsid w:val="00271699"/>
    <w:rsid w:val="002720C0"/>
    <w:rsid w:val="00274F19"/>
    <w:rsid w:val="00275AEB"/>
    <w:rsid w:val="0029421B"/>
    <w:rsid w:val="002A4EF7"/>
    <w:rsid w:val="002C4230"/>
    <w:rsid w:val="002D23B7"/>
    <w:rsid w:val="002D4267"/>
    <w:rsid w:val="002F2AAF"/>
    <w:rsid w:val="002F5B8E"/>
    <w:rsid w:val="003024DA"/>
    <w:rsid w:val="00306CF2"/>
    <w:rsid w:val="00325E78"/>
    <w:rsid w:val="00347D0E"/>
    <w:rsid w:val="00374C3E"/>
    <w:rsid w:val="00383E9B"/>
    <w:rsid w:val="00394842"/>
    <w:rsid w:val="00425547"/>
    <w:rsid w:val="004557E7"/>
    <w:rsid w:val="00460FA2"/>
    <w:rsid w:val="004B780B"/>
    <w:rsid w:val="005209F2"/>
    <w:rsid w:val="00561F32"/>
    <w:rsid w:val="00573C05"/>
    <w:rsid w:val="005D2731"/>
    <w:rsid w:val="005E1E78"/>
    <w:rsid w:val="005F2D41"/>
    <w:rsid w:val="00610F40"/>
    <w:rsid w:val="0065096A"/>
    <w:rsid w:val="00667323"/>
    <w:rsid w:val="00672885"/>
    <w:rsid w:val="00686259"/>
    <w:rsid w:val="006B2D41"/>
    <w:rsid w:val="006D262C"/>
    <w:rsid w:val="00794BE0"/>
    <w:rsid w:val="007A05A5"/>
    <w:rsid w:val="008216B7"/>
    <w:rsid w:val="00852E71"/>
    <w:rsid w:val="008720C5"/>
    <w:rsid w:val="00884E9A"/>
    <w:rsid w:val="0089524D"/>
    <w:rsid w:val="008A159D"/>
    <w:rsid w:val="008D288F"/>
    <w:rsid w:val="008D624E"/>
    <w:rsid w:val="00911B6B"/>
    <w:rsid w:val="0091484B"/>
    <w:rsid w:val="0092057F"/>
    <w:rsid w:val="00967FD9"/>
    <w:rsid w:val="009878F1"/>
    <w:rsid w:val="00A31C85"/>
    <w:rsid w:val="00A9158E"/>
    <w:rsid w:val="00AB3291"/>
    <w:rsid w:val="00AB5DBC"/>
    <w:rsid w:val="00AC3610"/>
    <w:rsid w:val="00AD411A"/>
    <w:rsid w:val="00AD77DE"/>
    <w:rsid w:val="00AE0716"/>
    <w:rsid w:val="00AE6E27"/>
    <w:rsid w:val="00B64973"/>
    <w:rsid w:val="00BC056F"/>
    <w:rsid w:val="00BE3235"/>
    <w:rsid w:val="00C435F0"/>
    <w:rsid w:val="00C84D79"/>
    <w:rsid w:val="00C92BB1"/>
    <w:rsid w:val="00CA1467"/>
    <w:rsid w:val="00CD6064"/>
    <w:rsid w:val="00CE23BB"/>
    <w:rsid w:val="00D02895"/>
    <w:rsid w:val="00DF29B0"/>
    <w:rsid w:val="00E00E32"/>
    <w:rsid w:val="00E11699"/>
    <w:rsid w:val="00E150A4"/>
    <w:rsid w:val="00EB28FA"/>
    <w:rsid w:val="00EB3BBD"/>
    <w:rsid w:val="00EB3DD1"/>
    <w:rsid w:val="00EC71DA"/>
    <w:rsid w:val="00ED513E"/>
    <w:rsid w:val="00EF31AC"/>
    <w:rsid w:val="00F07DEF"/>
    <w:rsid w:val="00F26EB7"/>
    <w:rsid w:val="00F73E34"/>
    <w:rsid w:val="047CD7FA"/>
    <w:rsid w:val="04C6713B"/>
    <w:rsid w:val="05830F4C"/>
    <w:rsid w:val="064AC69B"/>
    <w:rsid w:val="0662419C"/>
    <w:rsid w:val="077CCC28"/>
    <w:rsid w:val="0AD2F121"/>
    <w:rsid w:val="0B3574A4"/>
    <w:rsid w:val="0B4FD4F1"/>
    <w:rsid w:val="0BE3F186"/>
    <w:rsid w:val="0E56AC0F"/>
    <w:rsid w:val="11928D5B"/>
    <w:rsid w:val="12BC0085"/>
    <w:rsid w:val="13844B07"/>
    <w:rsid w:val="144226D3"/>
    <w:rsid w:val="150734A7"/>
    <w:rsid w:val="18F7BBDE"/>
    <w:rsid w:val="1939010F"/>
    <w:rsid w:val="1B3D1C9D"/>
    <w:rsid w:val="1BC980C3"/>
    <w:rsid w:val="1DAB9A0E"/>
    <w:rsid w:val="1EE5FDF7"/>
    <w:rsid w:val="2078B65C"/>
    <w:rsid w:val="20833540"/>
    <w:rsid w:val="216043F5"/>
    <w:rsid w:val="21A9DD36"/>
    <w:rsid w:val="22FC1456"/>
    <w:rsid w:val="25084EA4"/>
    <w:rsid w:val="267FCF44"/>
    <w:rsid w:val="26BFB7E7"/>
    <w:rsid w:val="28B43000"/>
    <w:rsid w:val="2B37971F"/>
    <w:rsid w:val="2C67342D"/>
    <w:rsid w:val="2ED6D133"/>
    <w:rsid w:val="325AEDC1"/>
    <w:rsid w:val="33CB9475"/>
    <w:rsid w:val="340BE593"/>
    <w:rsid w:val="37BD3407"/>
    <w:rsid w:val="390C5E05"/>
    <w:rsid w:val="40D00CCA"/>
    <w:rsid w:val="41C37D27"/>
    <w:rsid w:val="45D1B8B0"/>
    <w:rsid w:val="45D87638"/>
    <w:rsid w:val="4736A32E"/>
    <w:rsid w:val="481B031A"/>
    <w:rsid w:val="49095972"/>
    <w:rsid w:val="4961C83E"/>
    <w:rsid w:val="4D0FFADF"/>
    <w:rsid w:val="4D96400F"/>
    <w:rsid w:val="4FB516C0"/>
    <w:rsid w:val="4FC17984"/>
    <w:rsid w:val="4FDAFC0A"/>
    <w:rsid w:val="502043BD"/>
    <w:rsid w:val="526AD666"/>
    <w:rsid w:val="527E8968"/>
    <w:rsid w:val="578B9A61"/>
    <w:rsid w:val="57E3EBE6"/>
    <w:rsid w:val="5943EF17"/>
    <w:rsid w:val="5A10BF44"/>
    <w:rsid w:val="5C3D79BD"/>
    <w:rsid w:val="5CC71A31"/>
    <w:rsid w:val="5EFC2D76"/>
    <w:rsid w:val="600240A0"/>
    <w:rsid w:val="60E33B4D"/>
    <w:rsid w:val="60F9DDA0"/>
    <w:rsid w:val="617D9A31"/>
    <w:rsid w:val="63C50724"/>
    <w:rsid w:val="68A09F6F"/>
    <w:rsid w:val="69A9467B"/>
    <w:rsid w:val="6A5169AC"/>
    <w:rsid w:val="6C84DF1E"/>
    <w:rsid w:val="6DB6E61A"/>
    <w:rsid w:val="6EBE381C"/>
    <w:rsid w:val="70375279"/>
    <w:rsid w:val="7137659A"/>
    <w:rsid w:val="757CD965"/>
    <w:rsid w:val="760AD6BD"/>
    <w:rsid w:val="7891794D"/>
    <w:rsid w:val="7C25FD32"/>
    <w:rsid w:val="7EF1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FC0A"/>
  <w15:chartTrackingRefBased/>
  <w15:docId w15:val="{8C812F2D-C4DC-428B-B9CF-0818C0E3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E32"/>
  </w:style>
  <w:style w:type="paragraph" w:styleId="Footer">
    <w:name w:val="footer"/>
    <w:basedOn w:val="Normal"/>
    <w:link w:val="FooterChar"/>
    <w:uiPriority w:val="99"/>
    <w:unhideWhenUsed/>
    <w:rsid w:val="00E00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E32"/>
  </w:style>
  <w:style w:type="table" w:styleId="TableGrid">
    <w:name w:val="Table Grid"/>
    <w:basedOn w:val="TableNormal"/>
    <w:uiPriority w:val="39"/>
    <w:rsid w:val="00C9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75AEB"/>
    <w:rPr>
      <w:i/>
      <w:iCs/>
    </w:rPr>
  </w:style>
  <w:style w:type="character" w:styleId="Hyperlink">
    <w:name w:val="Hyperlink"/>
    <w:basedOn w:val="DefaultParagraphFont"/>
    <w:uiPriority w:val="99"/>
    <w:semiHidden/>
    <w:unhideWhenUsed/>
    <w:rsid w:val="00275AEB"/>
    <w:rPr>
      <w:color w:val="0000FF"/>
      <w:u w:val="single"/>
    </w:rPr>
  </w:style>
  <w:style w:type="character" w:customStyle="1" w:styleId="externallinkicon">
    <w:name w:val="external_link_icon"/>
    <w:basedOn w:val="DefaultParagraphFont"/>
    <w:rsid w:val="00275AEB"/>
  </w:style>
  <w:style w:type="paragraph" w:styleId="NormalWeb">
    <w:name w:val="Normal (Web)"/>
    <w:basedOn w:val="Normal"/>
    <w:uiPriority w:val="99"/>
    <w:semiHidden/>
    <w:unhideWhenUsed/>
    <w:rsid w:val="00275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275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12"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org/development/desa/dpad/publication/no-2-inequality-measuremen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emmanuel0-my.sharepoint.com/personal/khwajaa_emmanuel_edu/Documents/Indices%20for%20math%20model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Lorenz Curve for Indoneisa</a:t>
            </a:r>
            <a:r>
              <a:rPr lang="en-US" baseline="0"/>
              <a:t> Consumption 2003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Lorenz Curve Urban</c:v>
          </c:tx>
          <c:spPr>
            <a:ln w="19050" cap="rnd">
              <a:solidFill>
                <a:schemeClr val="accent1"/>
              </a:solidFill>
              <a:round/>
            </a:ln>
            <a:effectLst/>
          </c:spPr>
          <c:marker>
            <c:symbol val="none"/>
          </c:marker>
          <c:xVal>
            <c:numRef>
              <c:f>Sheet1!$S$4:$AC$4</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Sheet1!$S$5:$AC$5</c:f>
              <c:numCache>
                <c:formatCode>General</c:formatCode>
                <c:ptCount val="11"/>
                <c:pt idx="0">
                  <c:v>0</c:v>
                </c:pt>
                <c:pt idx="1">
                  <c:v>3.4346689761363E-2</c:v>
                </c:pt>
                <c:pt idx="2">
                  <c:v>8.051443742153469E-2</c:v>
                </c:pt>
                <c:pt idx="3">
                  <c:v>0.13529194845374798</c:v>
                </c:pt>
                <c:pt idx="4">
                  <c:v>0.19849624560842968</c:v>
                </c:pt>
                <c:pt idx="5">
                  <c:v>0.27172891832962559</c:v>
                </c:pt>
                <c:pt idx="6">
                  <c:v>0.35665916462419439</c:v>
                </c:pt>
                <c:pt idx="7">
                  <c:v>0.45577930063218558</c:v>
                </c:pt>
                <c:pt idx="8">
                  <c:v>0.57613347550933058</c:v>
                </c:pt>
                <c:pt idx="9">
                  <c:v>0.72929703765144061</c:v>
                </c:pt>
                <c:pt idx="10">
                  <c:v>0.99999999999996259</c:v>
                </c:pt>
              </c:numCache>
            </c:numRef>
          </c:yVal>
          <c:smooth val="1"/>
          <c:extLst>
            <c:ext xmlns:c16="http://schemas.microsoft.com/office/drawing/2014/chart" uri="{C3380CC4-5D6E-409C-BE32-E72D297353CC}">
              <c16:uniqueId val="{00000000-5AC1-4B69-87F0-7290EB53DCC3}"/>
            </c:ext>
          </c:extLst>
        </c:ser>
        <c:ser>
          <c:idx val="1"/>
          <c:order val="1"/>
          <c:tx>
            <c:v>Lorenz Curve Rural</c:v>
          </c:tx>
          <c:spPr>
            <a:ln w="19050" cap="rnd">
              <a:solidFill>
                <a:schemeClr val="accent2"/>
              </a:solidFill>
              <a:round/>
            </a:ln>
            <a:effectLst/>
          </c:spPr>
          <c:marker>
            <c:symbol val="none"/>
          </c:marker>
          <c:xVal>
            <c:numRef>
              <c:f>Sheet1!$S$4:$AC$4</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Sheet1!$S$6:$AC$6</c:f>
              <c:numCache>
                <c:formatCode>General</c:formatCode>
                <c:ptCount val="11"/>
                <c:pt idx="0">
                  <c:v>0</c:v>
                </c:pt>
                <c:pt idx="1">
                  <c:v>4.54209937792317E-2</c:v>
                </c:pt>
                <c:pt idx="2">
                  <c:v>0.1034974642126824</c:v>
                </c:pt>
                <c:pt idx="3">
                  <c:v>0.170102443692625</c:v>
                </c:pt>
                <c:pt idx="4">
                  <c:v>0.24442957418290881</c:v>
                </c:pt>
                <c:pt idx="5">
                  <c:v>0.32689274114301109</c:v>
                </c:pt>
                <c:pt idx="6">
                  <c:v>0.4195779609814409</c:v>
                </c:pt>
                <c:pt idx="7">
                  <c:v>0.52280366125195588</c:v>
                </c:pt>
                <c:pt idx="8">
                  <c:v>0.64135667340131486</c:v>
                </c:pt>
                <c:pt idx="9">
                  <c:v>0.78428347071598981</c:v>
                </c:pt>
                <c:pt idx="10">
                  <c:v>1.0000000000000517</c:v>
                </c:pt>
              </c:numCache>
            </c:numRef>
          </c:yVal>
          <c:smooth val="1"/>
          <c:extLst>
            <c:ext xmlns:c16="http://schemas.microsoft.com/office/drawing/2014/chart" uri="{C3380CC4-5D6E-409C-BE32-E72D297353CC}">
              <c16:uniqueId val="{00000001-5AC1-4B69-87F0-7290EB53DCC3}"/>
            </c:ext>
          </c:extLst>
        </c:ser>
        <c:ser>
          <c:idx val="2"/>
          <c:order val="2"/>
          <c:tx>
            <c:v>Line of Equality</c:v>
          </c:tx>
          <c:spPr>
            <a:ln w="19050" cap="rnd">
              <a:solidFill>
                <a:schemeClr val="accent3"/>
              </a:solidFill>
              <a:round/>
            </a:ln>
            <a:effectLst/>
          </c:spPr>
          <c:marker>
            <c:symbol val="none"/>
          </c:marker>
          <c:xVal>
            <c:numRef>
              <c:f>Sheet1!$S$4:$AC$4</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Sheet1!$S$7:$AC$7</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yVal>
          <c:smooth val="1"/>
          <c:extLst>
            <c:ext xmlns:c16="http://schemas.microsoft.com/office/drawing/2014/chart" uri="{C3380CC4-5D6E-409C-BE32-E72D297353CC}">
              <c16:uniqueId val="{00000002-5AC1-4B69-87F0-7290EB53DCC3}"/>
            </c:ext>
          </c:extLst>
        </c:ser>
        <c:dLbls>
          <c:showLegendKey val="0"/>
          <c:showVal val="0"/>
          <c:showCatName val="0"/>
          <c:showSerName val="0"/>
          <c:showPercent val="0"/>
          <c:showBubbleSize val="0"/>
        </c:dLbls>
        <c:axId val="999226991"/>
        <c:axId val="999225327"/>
      </c:scatterChart>
      <c:valAx>
        <c:axId val="999226991"/>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the 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225327"/>
        <c:crosses val="autoZero"/>
        <c:crossBetween val="midCat"/>
      </c:valAx>
      <c:valAx>
        <c:axId val="999225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Poercentage</a:t>
                </a:r>
                <a:r>
                  <a:rPr lang="en-US" baseline="0"/>
                  <a:t> Held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2269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Kotarski</dc:creator>
  <cp:keywords/>
  <dc:description/>
  <cp:lastModifiedBy>Andrew John Kotarski</cp:lastModifiedBy>
  <cp:revision>2</cp:revision>
  <dcterms:created xsi:type="dcterms:W3CDTF">2024-02-23T17:56:00Z</dcterms:created>
  <dcterms:modified xsi:type="dcterms:W3CDTF">2024-02-23T17:56:00Z</dcterms:modified>
</cp:coreProperties>
</file>