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A85A2E"/>
          <w:sz w:val="16"/>
          <w:szCs w:val="16"/>
        </w:rPr>
        <w:t xml:space="preserve">BORROWER-SIDE REVIEW  ·  18 AUGUST 2026</w:t>
      </w:r>
    </w:p>
    <w:p>
      <w:pPr>
        <w:spacing w:after="100"/>
      </w:pPr>
      <w:r>
        <w:rPr>
          <w:rFonts w:ascii="Calibri" w:cs="Calibri" w:eastAsia="Calibri" w:hAnsi="Calibri"/>
          <w:b/>
          <w:bCs/>
          <w:color w:val="1F1F1F"/>
          <w:sz w:val="40"/>
          <w:szCs w:val="40"/>
        </w:rPr>
        <w:t xml:space="preserve">Plane Tree Capital facility and security package</w:t>
      </w:r>
    </w:p>
    <w:p>
      <w:pPr>
        <w:spacing w:after="200" w:line="276"/>
      </w:pPr>
      <w:r>
        <w:rPr>
          <w:rFonts w:ascii="Calibri" w:cs="Calibri" w:eastAsia="Calibri" w:hAnsi="Calibri"/>
          <w:color w:val="3A342E"/>
          <w:sz w:val="22"/>
          <w:szCs w:val="22"/>
        </w:rPr>
        <w:t xml:space="preserve">A review of the Loan Facility Agreement and the Agreement of Cession and Pledge circulated for Tyron Bos — what the deal actually costs, which wording creates exposure, and what has to change before anyone signs.</w:t>
      </w:r>
    </w:p>
    <w:p>
      <w:pPr>
        <w:pBdr>
          <w:top w:val="single" w:color="A32E2E" w:sz="6" w:space="8"/>
          <w:left w:val="single" w:color="A32E2E" w:sz="6" w:space="8"/>
          <w:right w:val="single" w:color="A32E2E" w:sz="6" w:space="8"/>
        </w:pBdr>
        <w:shd w:fill="F8E9E7" w:color="auto" w:val="clear"/>
        <w:spacing w:after="40" w:before="120"/>
      </w:pPr>
      <w:r>
        <w:rPr>
          <w:rFonts w:ascii="Calibri" w:cs="Calibri" w:eastAsia="Calibri" w:hAnsi="Calibri"/>
          <w:b/>
          <w:bCs/>
          <w:color w:val="A32E2E"/>
          <w:sz w:val="16"/>
          <w:szCs w:val="16"/>
        </w:rPr>
        <w:t xml:space="preserve">STATUS — DRAFT</w:t>
      </w:r>
    </w:p>
    <w:p>
      <w:pPr>
        <w:pBdr>
          <w:left w:val="single" w:color="A32E2E" w:sz="6" w:space="8"/>
          <w:bottom w:val="single" w:color="A32E2E" w:sz="6" w:space="8"/>
          <w:right w:val="single" w:color="A32E2E" w:sz="6" w:space="8"/>
        </w:pBdr>
        <w:shd w:fill="F8E9E7" w:color="auto" w:val="clear"/>
        <w:spacing w:after="0" w:line="270"/>
      </w:pPr>
      <w:r>
        <w:rPr>
          <w:rFonts w:ascii="Calibri" w:cs="Calibri" w:eastAsia="Calibri" w:hAnsi="Calibri"/>
          <w:b/>
          <w:bCs/>
          <w:color w:val="A32E2E"/>
          <w:sz w:val="20"/>
          <w:szCs w:val="20"/>
        </w:rPr>
        <w:t xml:space="preserve">NOT FOR EXECUTION. </w:t>
      </w:r>
      <w:r>
        <w:rPr>
          <w:rFonts w:ascii="Calibri" w:cs="Calibri" w:eastAsia="Calibri" w:hAnsi="Calibri"/>
          <w:color w:val="1F1F1F"/>
          <w:sz w:val="20"/>
          <w:szCs w:val="20"/>
        </w:rPr>
        <w:t xml:space="preserve">This is a commercial and risk review, not a legal opinion. It requires sign-off by the principal and review by our attorney before either document is signed, and before any company details or acknowledgement of debt are provided for the legal-fee invoice. See section 11.</w:t>
      </w:r>
    </w:p>
    <w:p>
      <w:pPr>
        <w:spacing w:after="140"/>
      </w:pPr>
      <w:r>
        <w:rPr>
          <w:rFonts w:ascii="Calibri" w:cs="Calibri" w:eastAsia="Calibri" w:hAnsi="Calibri"/>
          <w:color w:val="1F1F1F"/>
          <w:sz w:val="2"/>
          <w:szCs w:val="2"/>
        </w:rPr>
        <w:t xml:space="preserve"/>
      </w:r>
    </w:p>
    <w:p>
      <w:pPr>
        <w:spacing w:after="70" w:before="220"/>
      </w:pPr>
      <w:r>
        <w:rPr>
          <w:rFonts w:ascii="Calibri" w:cs="Calibri" w:eastAsia="Calibri" w:hAnsi="Calibri"/>
          <w:b/>
          <w:bCs/>
          <w:color w:val="666057"/>
          <w:spacing w:val="30"/>
          <w:sz w:val="16"/>
          <w:szCs w:val="16"/>
        </w:rPr>
        <w:t xml:space="preserve">THE DEAL</w:t>
      </w:r>
    </w:p>
    <w:tbl>
      <w:tblPr>
        <w:tblW w:type="dxa" w:w="9026"/>
        <w:tblBorders>
          <w:top w:val="single" w:color="D8D2CA" w:sz="4"/>
          <w:left w:val="single" w:color="D8D2CA" w:sz="4"/>
          <w:bottom w:val="single" w:color="D8D2CA" w:sz="4"/>
          <w:right w:val="single" w:color="D8D2CA" w:sz="4"/>
          <w:insideH w:val="single" w:color="D8D2CA" w:sz="4"/>
          <w:insideV w:val="single" w:color="D8D2CA" w:sz="4"/>
        </w:tblBorders>
      </w:tblPr>
      <w:tblGrid>
        <w:gridCol w:w="2100"/>
        <w:gridCol w:w="2600"/>
        <w:gridCol w:w="2100"/>
        <w:gridCol w:w="2226"/>
      </w:tblGrid>
      <w:tr>
        <w:trPr>
          <w:tblHeader w:val="false"/>
        </w:trPr>
        <w:tc>
          <w:tcPr>
            <w:tcW w:type="dxa" w:w="21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Principal</w:t>
            </w:r>
          </w:p>
        </w:tc>
        <w:tc>
          <w:tcPr>
            <w:tcW w:type="dxa" w:w="26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Rate</w:t>
            </w:r>
          </w:p>
        </w:tc>
        <w:tc>
          <w:tcPr>
            <w:tcW w:type="dxa" w:w="21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Effective rate</w:t>
            </w:r>
          </w:p>
        </w:tc>
        <w:tc>
          <w:tcPr>
            <w:tcW w:type="dxa" w:w="22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Term</w:t>
            </w:r>
          </w:p>
        </w:tc>
      </w:tr>
      <w:tr>
        <w:trPr>
          <w:tblHeader w:val="false"/>
        </w:trPr>
        <w:tc>
          <w:tcPr>
            <w:tcW w:type="dxa" w:w="21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R2 400 000</w:t>
            </w:r>
          </w:p>
        </w:tc>
        <w:tc>
          <w:tcPr>
            <w:tcW w:type="dxa" w:w="26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21% p.a. nominal, compounded daily</w:t>
            </w:r>
          </w:p>
        </w:tc>
        <w:tc>
          <w:tcPr>
            <w:tcW w:type="dxa" w:w="21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23.36%</w:t>
            </w:r>
          </w:p>
        </w:tc>
        <w:tc>
          <w:tcPr>
            <w:tcW w:type="dxa" w:w="22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12 months from drawdown</w:t>
            </w:r>
          </w:p>
        </w:tc>
      </w:tr>
      <w:tr>
        <w:trPr>
          <w:tblHeader w:val="false"/>
        </w:trPr>
        <w:tc>
          <w:tcPr>
            <w:tcW w:type="dxa" w:w="21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Balloon, 31 Aug 2027</w:t>
            </w:r>
          </w:p>
        </w:tc>
        <w:tc>
          <w:tcPr>
            <w:tcW w:type="dxa" w:w="26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Borrower</w:t>
            </w:r>
          </w:p>
        </w:tc>
        <w:tc>
          <w:tcPr>
            <w:tcW w:type="dxa" w:w="21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Lender</w:t>
            </w:r>
          </w:p>
        </w:tc>
        <w:tc>
          <w:tcPr>
            <w:tcW w:type="dxa" w:w="22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Purpose</w:t>
            </w:r>
          </w:p>
        </w:tc>
      </w:tr>
      <w:tr>
        <w:trPr>
          <w:tblHeader w:val="false"/>
        </w:trPr>
        <w:tc>
          <w:tcPr>
            <w:tcW w:type="dxa" w:w="21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 R1 632 000 (modelled)</w:t>
            </w:r>
          </w:p>
        </w:tc>
        <w:tc>
          <w:tcPr>
            <w:tcW w:type="dxa" w:w="26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Tyron Bos — personal capacity, unlimited recourse</w:t>
            </w:r>
          </w:p>
        </w:tc>
        <w:tc>
          <w:tcPr>
            <w:tcW w:type="dxa" w:w="21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Plane Tree Capital (Pty) Ltd — NCRCP21814, FSP51788</w:t>
            </w:r>
          </w:p>
        </w:tc>
        <w:tc>
          <w:tcPr>
            <w:tcW w:type="dxa" w:w="22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Investments and projects relating to copper</w:t>
            </w:r>
          </w:p>
        </w:tc>
      </w:tr>
    </w:tbl>
    <w:p>
      <w:pPr>
        <w:spacing w:after="140"/>
      </w:pPr>
      <w:r>
        <w:rPr>
          <w:rFonts w:ascii="Calibri" w:cs="Calibri" w:eastAsia="Calibri" w:hAnsi="Calibri"/>
          <w:color w:val="1F1F1F"/>
          <w:sz w:val="2"/>
          <w:szCs w:val="2"/>
        </w:rPr>
        <w:t xml:space="preserve"/>
      </w:r>
    </w:p>
    <w:p>
      <w:pPr>
        <w:spacing w:after="120" w:line="276"/>
      </w:pPr>
      <w:r>
        <w:rPr>
          <w:rFonts w:ascii="Calibri" w:cs="Calibri" w:eastAsia="Calibri" w:hAnsi="Calibri"/>
          <w:b/>
          <w:bCs/>
          <w:color w:val="1F1F1F"/>
          <w:sz w:val="20"/>
          <w:szCs w:val="20"/>
        </w:rPr>
        <w:t xml:space="preserve">Documents reviewed: </w:t>
      </w:r>
      <w:r>
        <w:rPr>
          <w:rFonts w:ascii="Calibri" w:cs="Calibri" w:eastAsia="Calibri" w:hAnsi="Calibri"/>
          <w:color w:val="666057"/>
          <w:sz w:val="18"/>
          <w:szCs w:val="18"/>
        </w:rPr>
        <w:t xml:space="preserve">2026.08.12 — Loan Facility Agreement — Tyron Bos v1.docx; 2026.08.13 — Pledge and Cession of Claims v1.docx (with Annexures A and B), including the fourteen margin comments left in the files by the lender’s drafter.</w:t>
      </w:r>
    </w:p>
    <w:p>
      <w:pPr>
        <w:spacing w:after="0" w:line="276"/>
      </w:pPr>
      <w:r>
        <w:rPr>
          <w:rFonts w:ascii="Calibri" w:cs="Calibri" w:eastAsia="Calibri" w:hAnsi="Calibri"/>
          <w:b/>
          <w:bCs/>
          <w:color w:val="1F1F1F"/>
          <w:sz w:val="20"/>
          <w:szCs w:val="20"/>
        </w:rPr>
        <w:t xml:space="preserve">Whose side this is written from. </w:t>
      </w:r>
      <w:r>
        <w:rPr>
          <w:rFonts w:ascii="Calibri" w:cs="Calibri" w:eastAsia="Calibri" w:hAnsi="Calibri"/>
          <w:i/>
          <w:iCs/>
          <w:color w:val="1F1F1F"/>
          <w:sz w:val="20"/>
          <w:szCs w:val="20"/>
        </w:rPr>
        <w:t xml:space="preserve">This review is written for the borrower side. Every recommendation is aimed at reducing Tyron’s personal exposure and preserving our freedom to operate.</w:t>
      </w:r>
    </w:p>
    <w:p>
      <w:r>
        <w:br w:type="page"/>
      </w:r>
    </w:p>
    <w:p>
      <w:pPr>
        <w:pStyle w:val="Heading1"/>
        <w:pBdr>
          <w:bottom w:val="single" w:color="A85A2E" w:sz="6" w:space="6"/>
        </w:pBdr>
        <w:spacing w:after="160" w:before="400"/>
      </w:pPr>
      <w:r>
        <w:rPr>
          <w:rFonts w:ascii="Calibri" w:cs="Calibri" w:eastAsia="Calibri" w:hAnsi="Calibri"/>
          <w:b/>
          <w:bCs/>
          <w:color w:val="1F1F1F"/>
          <w:sz w:val="30"/>
          <w:szCs w:val="30"/>
        </w:rPr>
        <w:t xml:space="preserve">1.  Bottom line</w:t>
      </w:r>
    </w:p>
    <w:p>
      <w:pPr>
        <w:spacing w:after="120" w:line="276"/>
      </w:pPr>
      <w:r>
        <w:rPr>
          <w:rFonts w:ascii="Calibri" w:cs="Calibri" w:eastAsia="Calibri" w:hAnsi="Calibri"/>
          <w:b/>
          <w:bCs/>
          <w:color w:val="1F1F1F"/>
          <w:sz w:val="20"/>
          <w:szCs w:val="20"/>
        </w:rPr>
        <w:t xml:space="preserve">Do not sign either document in its current form.</w:t>
      </w:r>
      <w:r>
        <w:rPr>
          <w:rFonts w:ascii="Calibri" w:cs="Calibri" w:eastAsia="Calibri" w:hAnsi="Calibri"/>
          <w:color w:val="1F1F1F"/>
          <w:sz w:val="20"/>
          <w:szCs w:val="20"/>
        </w:rPr>
        <w:t xml:space="preserve"> Neither is unusual for a private credit lender’s opening draft, but as drafted the package is materially one-sided and contains at least </w:t>
      </w:r>
      <w:r>
        <w:rPr>
          <w:rFonts w:ascii="Calibri" w:cs="Calibri" w:eastAsia="Calibri" w:hAnsi="Calibri"/>
          <w:b/>
          <w:bCs/>
          <w:color w:val="1F1F1F"/>
          <w:sz w:val="20"/>
          <w:szCs w:val="20"/>
        </w:rPr>
        <w:t xml:space="preserve">five provisions that would cause us real harm</w:t>
      </w:r>
      <w:r>
        <w:rPr>
          <w:rFonts w:ascii="Calibri" w:cs="Calibri" w:eastAsia="Calibri" w:hAnsi="Calibri"/>
          <w:color w:val="1F1F1F"/>
          <w:sz w:val="20"/>
          <w:szCs w:val="20"/>
        </w:rPr>
        <w:t xml:space="preserve">, plus two that the lender’s own attorney has already conceded, in the margins of his own draft, are non-compliant with the National Credit Act.</w:t>
      </w:r>
    </w:p>
    <w:p>
      <w:pPr>
        <w:spacing w:after="120" w:line="276"/>
      </w:pPr>
      <w:r>
        <w:rPr>
          <w:rFonts w:ascii="Calibri" w:cs="Calibri" w:eastAsia="Calibri" w:hAnsi="Calibri"/>
          <w:color w:val="1F1F1F"/>
          <w:sz w:val="20"/>
          <w:szCs w:val="20"/>
        </w:rPr>
        <w:t xml:space="preserve">The three things that matter most:</w:t>
      </w:r>
    </w:p>
    <w:p>
      <w:pPr>
        <w:pStyle w:val="ListParagraph"/>
        <w:numPr>
          <w:ilvl w:val="0"/>
          <w:numId w:val="2"/>
        </w:numPr>
        <w:spacing w:after="70" w:line="270"/>
      </w:pPr>
      <w:r>
        <w:rPr>
          <w:rFonts w:ascii="Calibri" w:cs="Calibri" w:eastAsia="Calibri" w:hAnsi="Calibri"/>
          <w:b/>
          <w:bCs/>
          <w:color w:val="1F1F1F"/>
          <w:sz w:val="20"/>
          <w:szCs w:val="20"/>
        </w:rPr>
        <w:t xml:space="preserve">The Sale of Shares proceeds are ceded to Plane Tree "out and out" — outright, not as security. </w:t>
      </w:r>
      <w:r>
        <w:rPr>
          <w:rFonts w:ascii="Calibri" w:cs="Calibri" w:eastAsia="Calibri" w:hAnsi="Calibri"/>
          <w:color w:val="1F1F1F"/>
          <w:sz w:val="20"/>
          <w:szCs w:val="20"/>
        </w:rPr>
        <w:t xml:space="preserve">Ownership of that claim transfers on signature date. There is no clause returning it when the loan is repaid, and no clause obliging Plane Tree to pay back any surplus above what we owe. And the risk that is easy to miss: on this construction the claim </w:t>
      </w:r>
      <w:r>
        <w:rPr>
          <w:rFonts w:ascii="Calibri" w:cs="Calibri" w:eastAsia="Calibri" w:hAnsi="Calibri"/>
          <w:b/>
          <w:bCs/>
          <w:color w:val="1F1F1F"/>
          <w:sz w:val="20"/>
          <w:szCs w:val="20"/>
        </w:rPr>
        <w:t xml:space="preserve">falls into Plane Tree’s estate if they become insolvent</w:t>
      </w:r>
      <w:r>
        <w:rPr>
          <w:rFonts w:ascii="Calibri" w:cs="Calibri" w:eastAsia="Calibri" w:hAnsi="Calibri"/>
          <w:color w:val="1F1F1F"/>
          <w:sz w:val="20"/>
          <w:szCs w:val="20"/>
        </w:rPr>
        <w:t xml:space="preserve">, leaving Tyron a concurrent creditor for the whole excess. (Pledge cl 4.2 and Annexure A; see section 5.1.)</w:t>
      </w:r>
    </w:p>
    <w:p>
      <w:pPr>
        <w:pStyle w:val="ListParagraph"/>
        <w:numPr>
          <w:ilvl w:val="0"/>
          <w:numId w:val="2"/>
        </w:numPr>
        <w:spacing w:after="70" w:line="270"/>
      </w:pPr>
      <w:r>
        <w:rPr>
          <w:rFonts w:ascii="Calibri" w:cs="Calibri" w:eastAsia="Calibri" w:hAnsi="Calibri"/>
          <w:b/>
          <w:bCs/>
          <w:color w:val="1F1F1F"/>
          <w:sz w:val="20"/>
          <w:szCs w:val="20"/>
        </w:rPr>
        <w:t xml:space="preserve">There is no "ordinary course of business" carve-out anywhere in the security document. </w:t>
      </w:r>
      <w:r>
        <w:rPr>
          <w:rFonts w:ascii="Calibri" w:cs="Calibri" w:eastAsia="Calibri" w:hAnsi="Calibri"/>
          <w:color w:val="1F1F1F"/>
          <w:sz w:val="20"/>
          <w:szCs w:val="20"/>
        </w:rPr>
        <w:t xml:space="preserve">All present and future book debts and the credit balance in Tyron’s bank account are ceded, and cl 6.1 then forbids dealing with any of it without prior written consent. Read literally, </w:t>
      </w:r>
      <w:r>
        <w:rPr>
          <w:rFonts w:ascii="Calibri" w:cs="Calibri" w:eastAsia="Calibri" w:hAnsi="Calibri"/>
          <w:b/>
          <w:bCs/>
          <w:color w:val="1F1F1F"/>
          <w:sz w:val="20"/>
          <w:szCs w:val="20"/>
        </w:rPr>
        <w:t xml:space="preserve">Tyron cannot collect his own debtors or spend his own money from day one</w:t>
      </w:r>
      <w:r>
        <w:rPr>
          <w:rFonts w:ascii="Calibri" w:cs="Calibri" w:eastAsia="Calibri" w:hAnsi="Calibri"/>
          <w:color w:val="1F1F1F"/>
          <w:sz w:val="20"/>
          <w:szCs w:val="20"/>
        </w:rPr>
        <w:t xml:space="preserve">, and is in technical default the moment he does.</w:t>
      </w:r>
    </w:p>
    <w:p>
      <w:pPr>
        <w:pStyle w:val="ListParagraph"/>
        <w:numPr>
          <w:ilvl w:val="0"/>
          <w:numId w:val="2"/>
        </w:numPr>
        <w:spacing w:after="70" w:line="270"/>
      </w:pPr>
      <w:r>
        <w:rPr>
          <w:rFonts w:ascii="Calibri" w:cs="Calibri" w:eastAsia="Calibri" w:hAnsi="Calibri"/>
          <w:b/>
          <w:bCs/>
          <w:color w:val="1F1F1F"/>
          <w:sz w:val="20"/>
          <w:szCs w:val="20"/>
        </w:rPr>
        <w:t xml:space="preserve">This is a personal loan with unlimited recourse. </w:t>
      </w:r>
      <w:r>
        <w:rPr>
          <w:rFonts w:ascii="Calibri" w:cs="Calibri" w:eastAsia="Calibri" w:hAnsi="Calibri"/>
          <w:color w:val="1F1F1F"/>
          <w:sz w:val="20"/>
          <w:szCs w:val="20"/>
        </w:rPr>
        <w:t xml:space="preserve">There is no company borrower, no limited recourse, no cap. Tyron is personally liable for R2.4m plus interest, secured on his vehicle, his plant, his receivables, his bank account and his insurance proceeds — and he warrants things that no person can truthfully warrant for twelve months.</w:t>
      </w:r>
    </w:p>
    <w:p>
      <w:pPr>
        <w:spacing w:after="120" w:line="276"/>
      </w:pPr>
      <w:r>
        <w:rPr>
          <w:rFonts w:ascii="Calibri" w:cs="Calibri" w:eastAsia="Calibri" w:hAnsi="Calibri"/>
          <w:color w:val="1F1F1F"/>
          <w:sz w:val="20"/>
          <w:szCs w:val="20"/>
        </w:rPr>
        <w:t xml:space="preserve">The email asking for </w:t>
      </w:r>
      <w:r>
        <w:rPr>
          <w:rFonts w:ascii="Calibri" w:cs="Calibri" w:eastAsia="Calibri" w:hAnsi="Calibri"/>
          <w:b/>
          <w:bCs/>
          <w:color w:val="1F1F1F"/>
          <w:sz w:val="20"/>
          <w:szCs w:val="20"/>
        </w:rPr>
        <w:t xml:space="preserve">"company details to be used in the AOD/invoice for legal fees"</w:t>
      </w:r>
      <w:r>
        <w:rPr>
          <w:rFonts w:ascii="Calibri" w:cs="Calibri" w:eastAsia="Calibri" w:hAnsi="Calibri"/>
          <w:color w:val="1F1F1F"/>
          <w:sz w:val="20"/>
          <w:szCs w:val="20"/>
        </w:rPr>
        <w:t xml:space="preserve"> should not be answered with company details. See section 3 — it is the most urgent item, and their own attorney has written in the margin that it "is not strictly permitted".</w:t>
      </w:r>
    </w:p>
    <w:p>
      <w:pPr>
        <w:pStyle w:val="Heading1"/>
        <w:pBdr>
          <w:bottom w:val="single" w:color="A85A2E" w:sz="6" w:space="6"/>
        </w:pBdr>
        <w:spacing w:after="160" w:before="400"/>
      </w:pPr>
      <w:r>
        <w:rPr>
          <w:rFonts w:ascii="Calibri" w:cs="Calibri" w:eastAsia="Calibri" w:hAnsi="Calibri"/>
          <w:b/>
          <w:bCs/>
          <w:color w:val="1F1F1F"/>
          <w:sz w:val="30"/>
          <w:szCs w:val="30"/>
        </w:rPr>
        <w:t xml:space="preserve">2.  What this actually costs</w:t>
      </w:r>
    </w:p>
    <w:p>
      <w:pPr>
        <w:spacing w:after="120" w:line="276"/>
      </w:pPr>
      <w:r>
        <w:rPr>
          <w:rFonts w:ascii="Calibri" w:cs="Calibri" w:eastAsia="Calibri" w:hAnsi="Calibri"/>
          <w:color w:val="1F1F1F"/>
          <w:sz w:val="20"/>
          <w:szCs w:val="20"/>
        </w:rPr>
        <w:t xml:space="preserve">The Cost of Credit table leaves </w:t>
      </w:r>
      <w:r>
        <w:rPr>
          <w:rFonts w:ascii="Calibri" w:cs="Calibri" w:eastAsia="Calibri" w:hAnsi="Calibri"/>
          <w:b/>
          <w:bCs/>
          <w:color w:val="1F1F1F"/>
          <w:sz w:val="20"/>
          <w:szCs w:val="20"/>
        </w:rPr>
        <w:t xml:space="preserve">TOTAL INTEREST, FEES AND CHARGES</w:t>
      </w:r>
      <w:r>
        <w:rPr>
          <w:rFonts w:ascii="Calibri" w:cs="Calibri" w:eastAsia="Calibri" w:hAnsi="Calibri"/>
          <w:color w:val="1F1F1F"/>
          <w:sz w:val="20"/>
          <w:szCs w:val="20"/>
        </w:rPr>
        <w:t xml:space="preserve"> and </w:t>
      </w:r>
      <w:r>
        <w:rPr>
          <w:rFonts w:ascii="Calibri" w:cs="Calibri" w:eastAsia="Calibri" w:hAnsi="Calibri"/>
          <w:b/>
          <w:bCs/>
          <w:color w:val="1F1F1F"/>
          <w:sz w:val="20"/>
          <w:szCs w:val="20"/>
        </w:rPr>
        <w:t xml:space="preserve">TOTAL COST OF CREDIT</w:t>
      </w:r>
      <w:r>
        <w:rPr>
          <w:rFonts w:ascii="Calibri" w:cs="Calibri" w:eastAsia="Calibri" w:hAnsi="Calibri"/>
          <w:color w:val="1F1F1F"/>
          <w:sz w:val="20"/>
          <w:szCs w:val="20"/>
        </w:rPr>
        <w:t xml:space="preserve"> as R[●] — blank. Their comment 10 asks us to supply the figure. Here it is, modelled on the agreement’s own terms (R2.4m, 21% nominal compounded daily on a 365-day year, payments applied to interest first per cl 8.3):</w:t>
      </w:r>
    </w:p>
    <w:tbl>
      <w:tblPr>
        <w:tblW w:type="dxa" w:w="9026"/>
        <w:tblBorders>
          <w:top w:val="single" w:color="D8D2CA" w:sz="4"/>
          <w:left w:val="single" w:color="D8D2CA" w:sz="4"/>
          <w:bottom w:val="single" w:color="D8D2CA" w:sz="4"/>
          <w:right w:val="single" w:color="D8D2CA" w:sz="4"/>
          <w:insideH w:val="single" w:color="D8D2CA" w:sz="4"/>
          <w:insideV w:val="single" w:color="D8D2CA" w:sz="4"/>
        </w:tblBorders>
      </w:tblPr>
      <w:tblGrid>
        <w:gridCol w:w="3626"/>
        <w:gridCol w:w="2700"/>
        <w:gridCol w:w="2700"/>
      </w:tblGrid>
      <w:tr>
        <w:trPr>
          <w:tblHeader/>
        </w:trPr>
        <w:tc>
          <w:tcPr>
            <w:tcW w:type="dxa" w:w="3626"/>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
            </w:r>
          </w:p>
        </w:tc>
        <w:tc>
          <w:tcPr>
            <w:tcW w:type="dxa" w:w="2700"/>
            <w:shd w:fill="F5F2EE" w:color="auto" w:val="clear"/>
            <w:tcMar>
              <w:top w:type="dxa" w:w="90"/>
              <w:left w:type="dxa" w:w="120"/>
              <w:bottom w:type="dxa" w:w="90"/>
              <w:right w:type="dxa" w:w="120"/>
            </w:tcMar>
          </w:tcPr>
          <w:p>
            <w:pPr>
              <w:spacing w:after="0" w:line="260"/>
              <w:jc w:val="right"/>
            </w:pPr>
            <w:r>
              <w:rPr>
                <w:rFonts w:ascii="Calibri" w:cs="Calibri" w:eastAsia="Calibri" w:hAnsi="Calibri"/>
                <w:b/>
                <w:bCs/>
                <w:color w:val="666057"/>
                <w:sz w:val="16"/>
                <w:szCs w:val="16"/>
              </w:rPr>
              <w:t xml:space="preserve">Drawdown 20 Aug 2026</w:t>
            </w:r>
          </w:p>
        </w:tc>
        <w:tc>
          <w:tcPr>
            <w:tcW w:type="dxa" w:w="2700"/>
            <w:shd w:fill="F5F2EE" w:color="auto" w:val="clear"/>
            <w:tcMar>
              <w:top w:type="dxa" w:w="90"/>
              <w:left w:type="dxa" w:w="120"/>
              <w:bottom w:type="dxa" w:w="90"/>
              <w:right w:type="dxa" w:w="120"/>
            </w:tcMar>
          </w:tcPr>
          <w:p>
            <w:pPr>
              <w:spacing w:after="0" w:line="260"/>
              <w:jc w:val="right"/>
            </w:pPr>
            <w:r>
              <w:rPr>
                <w:rFonts w:ascii="Calibri" w:cs="Calibri" w:eastAsia="Calibri" w:hAnsi="Calibri"/>
                <w:b/>
                <w:bCs/>
                <w:color w:val="666057"/>
                <w:sz w:val="16"/>
                <w:szCs w:val="16"/>
              </w:rPr>
              <w:t xml:space="preserve">Drawdown 15 Sept 2026</w:t>
            </w:r>
          </w:p>
        </w:tc>
      </w:tr>
      <w:tr>
        <w:trPr>
          <w:tblHeader w:val="false"/>
        </w:trPr>
        <w:tc>
          <w:tcPr>
            <w:tcW w:type="dxa" w:w="3626"/>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12 × R100 000 instalments</w:t>
            </w:r>
          </w:p>
        </w:tc>
        <w:tc>
          <w:tcPr>
            <w:tcW w:type="dxa" w:w="2700"/>
            <w:tcMar>
              <w:top w:type="dxa" w:w="90"/>
              <w:left w:type="dxa" w:w="120"/>
              <w:bottom w:type="dxa" w:w="90"/>
              <w:right w:type="dxa" w:w="120"/>
            </w:tcMar>
          </w:tcPr>
          <w:p>
            <w:pPr>
              <w:spacing w:after="0" w:line="260"/>
              <w:jc w:val="right"/>
            </w:pPr>
            <w:r>
              <w:rPr>
                <w:rFonts w:ascii="Calibri" w:cs="Calibri" w:eastAsia="Calibri" w:hAnsi="Calibri"/>
                <w:b w:val="false"/>
                <w:bCs w:val="false"/>
                <w:color w:val="1F1F1F"/>
                <w:sz w:val="19"/>
                <w:szCs w:val="19"/>
              </w:rPr>
              <w:t xml:space="preserve">R1 200 000</w:t>
            </w:r>
          </w:p>
        </w:tc>
        <w:tc>
          <w:tcPr>
            <w:tcW w:type="dxa" w:w="2700"/>
            <w:tcMar>
              <w:top w:type="dxa" w:w="90"/>
              <w:left w:type="dxa" w:w="120"/>
              <w:bottom w:type="dxa" w:w="90"/>
              <w:right w:type="dxa" w:w="120"/>
            </w:tcMar>
          </w:tcPr>
          <w:p>
            <w:pPr>
              <w:spacing w:after="0" w:line="260"/>
              <w:jc w:val="right"/>
            </w:pPr>
            <w:r>
              <w:rPr>
                <w:rFonts w:ascii="Calibri" w:cs="Calibri" w:eastAsia="Calibri" w:hAnsi="Calibri"/>
                <w:b w:val="false"/>
                <w:bCs w:val="false"/>
                <w:color w:val="1F1F1F"/>
                <w:sz w:val="19"/>
                <w:szCs w:val="19"/>
              </w:rPr>
              <w:t xml:space="preserve">R1 100 000 *</w:t>
            </w:r>
          </w:p>
        </w:tc>
      </w:tr>
      <w:tr>
        <w:trPr>
          <w:tblHeader w:val="false"/>
        </w:trPr>
        <w:tc>
          <w:tcPr>
            <w:tcW w:type="dxa" w:w="3626"/>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Balloon due 31 Aug 2027</w:t>
            </w:r>
          </w:p>
        </w:tc>
        <w:tc>
          <w:tcPr>
            <w:tcW w:type="dxa" w:w="2700"/>
            <w:tcMar>
              <w:top w:type="dxa" w:w="90"/>
              <w:left w:type="dxa" w:w="120"/>
              <w:bottom w:type="dxa" w:w="90"/>
              <w:right w:type="dxa" w:w="120"/>
            </w:tcMar>
          </w:tcPr>
          <w:p>
            <w:pPr>
              <w:spacing w:after="0" w:line="260"/>
              <w:jc w:val="right"/>
            </w:pPr>
            <w:r>
              <w:rPr>
                <w:rFonts w:ascii="Calibri" w:cs="Calibri" w:eastAsia="Calibri" w:hAnsi="Calibri"/>
                <w:b w:val="false"/>
                <w:bCs w:val="false"/>
                <w:color w:val="1F1F1F"/>
                <w:sz w:val="19"/>
                <w:szCs w:val="19"/>
              </w:rPr>
              <w:t xml:space="preserve">R1 632 126</w:t>
            </w:r>
          </w:p>
        </w:tc>
        <w:tc>
          <w:tcPr>
            <w:tcW w:type="dxa" w:w="2700"/>
            <w:tcMar>
              <w:top w:type="dxa" w:w="90"/>
              <w:left w:type="dxa" w:w="120"/>
              <w:bottom w:type="dxa" w:w="90"/>
              <w:right w:type="dxa" w:w="120"/>
            </w:tcMar>
          </w:tcPr>
          <w:p>
            <w:pPr>
              <w:spacing w:after="0" w:line="260"/>
              <w:jc w:val="right"/>
            </w:pPr>
            <w:r>
              <w:rPr>
                <w:rFonts w:ascii="Calibri" w:cs="Calibri" w:eastAsia="Calibri" w:hAnsi="Calibri"/>
                <w:b w:val="false"/>
                <w:bCs w:val="false"/>
                <w:color w:val="1F1F1F"/>
                <w:sz w:val="19"/>
                <w:szCs w:val="19"/>
              </w:rPr>
              <w:t xml:space="preserve">R1 711 262</w:t>
            </w:r>
          </w:p>
        </w:tc>
      </w:tr>
      <w:tr>
        <w:trPr>
          <w:tblHeader w:val="false"/>
        </w:trPr>
        <w:tc>
          <w:tcPr>
            <w:tcW w:type="dxa" w:w="3626"/>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Total interest</w:t>
            </w:r>
          </w:p>
        </w:tc>
        <w:tc>
          <w:tcPr>
            <w:tcW w:type="dxa" w:w="2700"/>
            <w:tcMar>
              <w:top w:type="dxa" w:w="90"/>
              <w:left w:type="dxa" w:w="120"/>
              <w:bottom w:type="dxa" w:w="90"/>
              <w:right w:type="dxa" w:w="120"/>
            </w:tcMar>
          </w:tcPr>
          <w:p>
            <w:pPr>
              <w:spacing w:after="0" w:line="260"/>
              <w:jc w:val="right"/>
            </w:pPr>
            <w:r>
              <w:rPr>
                <w:rFonts w:ascii="Calibri" w:cs="Calibri" w:eastAsia="Calibri" w:hAnsi="Calibri"/>
                <w:b w:val="false"/>
                <w:bCs w:val="false"/>
                <w:color w:val="1F1F1F"/>
                <w:sz w:val="19"/>
                <w:szCs w:val="19"/>
              </w:rPr>
              <w:t xml:space="preserve">R432 126</w:t>
            </w:r>
          </w:p>
        </w:tc>
        <w:tc>
          <w:tcPr>
            <w:tcW w:type="dxa" w:w="2700"/>
            <w:tcMar>
              <w:top w:type="dxa" w:w="90"/>
              <w:left w:type="dxa" w:w="120"/>
              <w:bottom w:type="dxa" w:w="90"/>
              <w:right w:type="dxa" w:w="120"/>
            </w:tcMar>
          </w:tcPr>
          <w:p>
            <w:pPr>
              <w:spacing w:after="0" w:line="260"/>
              <w:jc w:val="right"/>
            </w:pPr>
            <w:r>
              <w:rPr>
                <w:rFonts w:ascii="Calibri" w:cs="Calibri" w:eastAsia="Calibri" w:hAnsi="Calibri"/>
                <w:b w:val="false"/>
                <w:bCs w:val="false"/>
                <w:color w:val="1F1F1F"/>
                <w:sz w:val="19"/>
                <w:szCs w:val="19"/>
              </w:rPr>
              <w:t xml:space="preserve">R411 262</w:t>
            </w:r>
          </w:p>
        </w:tc>
      </w:tr>
      <w:tr>
        <w:trPr>
          <w:tblHeader w:val="false"/>
        </w:trPr>
        <w:tc>
          <w:tcPr>
            <w:tcW w:type="dxa" w:w="3626"/>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Total repaid</w:t>
            </w:r>
          </w:p>
        </w:tc>
        <w:tc>
          <w:tcPr>
            <w:tcW w:type="dxa" w:w="2700"/>
            <w:tcMar>
              <w:top w:type="dxa" w:w="90"/>
              <w:left w:type="dxa" w:w="120"/>
              <w:bottom w:type="dxa" w:w="90"/>
              <w:right w:type="dxa" w:w="120"/>
            </w:tcMar>
          </w:tcPr>
          <w:p>
            <w:pPr>
              <w:spacing w:after="0" w:line="260"/>
              <w:jc w:val="right"/>
            </w:pPr>
            <w:r>
              <w:rPr>
                <w:rFonts w:ascii="Calibri" w:cs="Calibri" w:eastAsia="Calibri" w:hAnsi="Calibri"/>
                <w:b w:val="false"/>
                <w:bCs w:val="false"/>
                <w:color w:val="1F1F1F"/>
                <w:sz w:val="19"/>
                <w:szCs w:val="19"/>
              </w:rPr>
              <w:t xml:space="preserve">R2 832 126</w:t>
            </w:r>
          </w:p>
        </w:tc>
        <w:tc>
          <w:tcPr>
            <w:tcW w:type="dxa" w:w="2700"/>
            <w:tcMar>
              <w:top w:type="dxa" w:w="90"/>
              <w:left w:type="dxa" w:w="120"/>
              <w:bottom w:type="dxa" w:w="90"/>
              <w:right w:type="dxa" w:w="120"/>
            </w:tcMar>
          </w:tcPr>
          <w:p>
            <w:pPr>
              <w:spacing w:after="0" w:line="260"/>
              <w:jc w:val="right"/>
            </w:pPr>
            <w:r>
              <w:rPr>
                <w:rFonts w:ascii="Calibri" w:cs="Calibri" w:eastAsia="Calibri" w:hAnsi="Calibri"/>
                <w:b w:val="false"/>
                <w:bCs w:val="false"/>
                <w:color w:val="1F1F1F"/>
                <w:sz w:val="19"/>
                <w:szCs w:val="19"/>
              </w:rPr>
              <w:t xml:space="preserve">R2 811 262</w:t>
            </w:r>
          </w:p>
        </w:tc>
      </w:tr>
    </w:tbl>
    <w:p>
      <w:pPr>
        <w:spacing w:after="160" w:line="276"/>
      </w:pPr>
      <w:r>
        <w:rPr>
          <w:rFonts w:ascii="Calibri" w:cs="Calibri" w:eastAsia="Calibri" w:hAnsi="Calibri"/>
          <w:color w:val="666057"/>
          <w:sz w:val="16"/>
          <w:szCs w:val="16"/>
        </w:rPr>
        <w:t xml:space="preserve">* On a September drawdown the first instalment date has already passed — see the third point below.</w:t>
      </w:r>
    </w:p>
    <w:p>
      <w:pPr>
        <w:pStyle w:val="Heading2"/>
        <w:spacing w:after="100" w:before="260"/>
      </w:pPr>
      <w:r>
        <w:rPr>
          <w:rFonts w:ascii="Calibri" w:cs="Calibri" w:eastAsia="Calibri" w:hAnsi="Calibri"/>
          <w:b/>
          <w:bCs/>
          <w:color w:val="1F1F1F"/>
          <w:sz w:val="23"/>
          <w:szCs w:val="23"/>
        </w:rPr>
        <w:t xml:space="preserve">The instalment schedule is a disguised balloon</w:t>
      </w:r>
    </w:p>
    <w:p>
      <w:pPr>
        <w:spacing w:after="120" w:line="276"/>
      </w:pPr>
      <w:r>
        <w:rPr>
          <w:rFonts w:ascii="Calibri" w:cs="Calibri" w:eastAsia="Calibri" w:hAnsi="Calibri"/>
          <w:b/>
          <w:bCs/>
          <w:color w:val="A32E2E"/>
          <w:sz w:val="15"/>
          <w:szCs w:val="15"/>
        </w:rPr>
        <w:t xml:space="preserve">  [MUST CHANGE]  </w:t>
      </w:r>
      <w:r>
        <w:rPr>
          <w:rFonts w:ascii="Calibri" w:cs="Calibri" w:eastAsia="Calibri" w:hAnsi="Calibri"/>
          <w:color w:val="1F1F1F"/>
          <w:sz w:val="20"/>
          <w:szCs w:val="20"/>
        </w:rPr>
        <w:t xml:space="preserve"> R100 000 a month barely exceeds the interest accrual of roughly R42–47k, so capital hardly moves. </w:t>
      </w:r>
      <w:r>
        <w:rPr>
          <w:rFonts w:ascii="Calibri" w:cs="Calibri" w:eastAsia="Calibri" w:hAnsi="Calibri"/>
          <w:b/>
          <w:bCs/>
          <w:color w:val="1F1F1F"/>
          <w:sz w:val="20"/>
          <w:szCs w:val="20"/>
        </w:rPr>
        <w:t xml:space="preserve">About 68% of the principal falls due in a single payment on 31 August 2027.</w:t>
      </w:r>
      <w:r>
        <w:rPr>
          <w:rFonts w:ascii="Calibri" w:cs="Calibri" w:eastAsia="Calibri" w:hAnsi="Calibri"/>
          <w:color w:val="1F1F1F"/>
          <w:sz w:val="20"/>
          <w:szCs w:val="20"/>
        </w:rPr>
        <w:t xml:space="preserve"> Clause 8.1 reads like an amortising loan. It is not. Our refinancing and exit plan has to be built around a ~R1.63m bullet, not around twelve instalments.</w:t>
      </w:r>
    </w:p>
    <w:p>
      <w:pPr>
        <w:pStyle w:val="Heading2"/>
        <w:spacing w:after="100" w:before="260"/>
      </w:pPr>
      <w:r>
        <w:rPr>
          <w:rFonts w:ascii="Calibri" w:cs="Calibri" w:eastAsia="Calibri" w:hAnsi="Calibri"/>
          <w:b/>
          <w:bCs/>
          <w:color w:val="1F1F1F"/>
          <w:sz w:val="23"/>
          <w:szCs w:val="23"/>
        </w:rPr>
        <w:t xml:space="preserve">"21% compounded daily" is not 21% — but argue it under Regulation 40</w:t>
      </w:r>
    </w:p>
    <w:p>
      <w:pPr>
        <w:spacing w:after="120" w:line="276"/>
      </w:pPr>
      <w:r>
        <w:rPr>
          <w:rFonts w:ascii="Calibri" w:cs="Calibri" w:eastAsia="Calibri" w:hAnsi="Calibri"/>
          <w:b/>
          <w:bCs/>
          <w:color w:val="A32E2E"/>
          <w:sz w:val="15"/>
          <w:szCs w:val="15"/>
        </w:rPr>
        <w:t xml:space="preserve">  [MUST CHANGE]  </w:t>
      </w:r>
      <w:r>
        <w:rPr>
          <w:rFonts w:ascii="Calibri" w:cs="Calibri" w:eastAsia="Calibri" w:hAnsi="Calibri"/>
          <w:color w:val="1F1F1F"/>
          <w:sz w:val="20"/>
          <w:szCs w:val="20"/>
        </w:rPr>
        <w:t xml:space="preserve"> Compounded daily, the effective annual rate is </w:t>
      </w:r>
      <w:r>
        <w:rPr>
          <w:rFonts w:ascii="Calibri" w:cs="Calibri" w:eastAsia="Calibri" w:hAnsi="Calibri"/>
          <w:b/>
          <w:bCs/>
          <w:color w:val="1F1F1F"/>
          <w:sz w:val="20"/>
          <w:szCs w:val="20"/>
        </w:rPr>
        <w:t xml:space="preserve">23.36%</w:t>
      </w:r>
      <w:r>
        <w:rPr>
          <w:rFonts w:ascii="Calibri" w:cs="Calibri" w:eastAsia="Calibri" w:hAnsi="Calibri"/>
          <w:color w:val="1F1F1F"/>
          <w:sz w:val="20"/>
          <w:szCs w:val="20"/>
        </w:rPr>
        <w:t xml:space="preserve">. Their own attorney twice notes, in comments 8 and 19:</w:t>
      </w:r>
    </w:p>
    <w:p>
      <w:pPr>
        <w:pBdr>
          <w:left w:val="single" w:color="A85A2E" w:sz="12" w:space="10"/>
        </w:pBdr>
        <w:shd w:fill="F5F2EE" w:color="auto" w:val="clear"/>
        <w:spacing w:after="40" w:before="110" w:line="270"/>
        <w:ind w:left="340"/>
      </w:pPr>
      <w:r>
        <w:rPr>
          <w:rFonts w:ascii="Calibri" w:cs="Calibri" w:eastAsia="Calibri" w:hAnsi="Calibri"/>
          <w:i/>
          <w:iCs/>
          <w:color w:val="3A342E"/>
          <w:sz w:val="20"/>
          <w:szCs w:val="20"/>
        </w:rPr>
        <w:t xml:space="preserve">In terms of the national credit act, the maximum interest rate which can be charged is the Repo Rate plus 14%. That is 21% at the moment and we cannot charge 24%.</w:t>
      </w:r>
    </w:p>
    <w:p>
      <w:pPr>
        <w:spacing w:after="140"/>
        <w:ind w:left="340"/>
      </w:pPr>
      <w:r>
        <w:rPr>
          <w:rFonts w:ascii="Calibri" w:cs="Calibri" w:eastAsia="Calibri" w:hAnsi="Calibri"/>
          <w:b/>
          <w:bCs/>
          <w:color w:val="666057"/>
          <w:sz w:val="16"/>
          <w:szCs w:val="16"/>
        </w:rPr>
        <w:t xml:space="preserve">Their comments 8 and 19</w:t>
      </w:r>
    </w:p>
    <w:p>
      <w:pPr>
        <w:spacing w:after="120" w:line="276"/>
      </w:pPr>
      <w:r>
        <w:rPr>
          <w:rFonts w:ascii="Calibri" w:cs="Calibri" w:eastAsia="Calibri" w:hAnsi="Calibri"/>
          <w:color w:val="1F1F1F"/>
          <w:sz w:val="20"/>
          <w:szCs w:val="20"/>
        </w:rPr>
        <w:t xml:space="preserve">The temptation is to argue "23.36% exceeds the 21% cap". </w:t>
      </w:r>
      <w:r>
        <w:rPr>
          <w:rFonts w:ascii="Calibri" w:cs="Calibri" w:eastAsia="Calibri" w:hAnsi="Calibri"/>
          <w:b/>
          <w:bCs/>
          <w:color w:val="1F1F1F"/>
          <w:sz w:val="20"/>
          <w:szCs w:val="20"/>
        </w:rPr>
        <w:t xml:space="preserve">Do not</w:t>
      </w:r>
      <w:r>
        <w:rPr>
          <w:rFonts w:ascii="Calibri" w:cs="Calibri" w:eastAsia="Calibri" w:hAnsi="Calibri"/>
          <w:color w:val="1F1F1F"/>
          <w:sz w:val="20"/>
          <w:szCs w:val="20"/>
        </w:rPr>
        <w:t xml:space="preserve"> — whether the Regulation 42 cap bites on the nominal or the effective rate is genuinely unresolved (section 9.1). The stronger and cleaner point is </w:t>
      </w:r>
      <w:r>
        <w:rPr>
          <w:rFonts w:ascii="Calibri" w:cs="Calibri" w:eastAsia="Calibri" w:hAnsi="Calibri"/>
          <w:b/>
          <w:bCs/>
          <w:color w:val="1F1F1F"/>
          <w:sz w:val="20"/>
          <w:szCs w:val="20"/>
        </w:rPr>
        <w:t xml:space="preserve">Regulation 40</w:t>
      </w:r>
      <w:r>
        <w:rPr>
          <w:rFonts w:ascii="Calibri" w:cs="Calibri" w:eastAsia="Calibri" w:hAnsi="Calibri"/>
          <w:color w:val="1F1F1F"/>
          <w:sz w:val="20"/>
          <w:szCs w:val="20"/>
        </w:rPr>
        <w:t xml:space="preserve">: interest must be calculated daily but may be added to the deferred amount only once a month. Daily capitalisation is not permitted at all, whatever the headline rate.</w:t>
      </w:r>
    </w:p>
    <w:p>
      <w:pPr>
        <w:pBdr>
          <w:top w:val="single" w:color="A85A2E" w:sz="6" w:space="8"/>
          <w:left w:val="single" w:color="A85A2E" w:sz="6" w:space="8"/>
          <w:right w:val="single" w:color="A85A2E" w:sz="6" w:space="8"/>
        </w:pBdr>
        <w:shd w:fill="F5E9E0" w:color="auto" w:val="clear"/>
        <w:spacing w:after="40" w:before="120"/>
      </w:pPr>
      <w:r>
        <w:rPr>
          <w:rFonts w:ascii="Calibri" w:cs="Calibri" w:eastAsia="Calibri" w:hAnsi="Calibri"/>
          <w:b/>
          <w:bCs/>
          <w:color w:val="A85A2E"/>
          <w:sz w:val="16"/>
          <w:szCs w:val="16"/>
        </w:rPr>
        <w:t xml:space="preserve">ASK FOR</w:t>
      </w:r>
    </w:p>
    <w:p>
      <w:pPr>
        <w:pBdr>
          <w:left w:val="single" w:color="A85A2E" w:sz="6" w:space="8"/>
          <w:bottom w:val="single" w:color="A85A2E" w:sz="6" w:space="8"/>
          <w:right w:val="single" w:color="A85A2E" w:sz="6" w:space="8"/>
        </w:pBdr>
        <w:shd w:fill="F5E9E0" w:color="auto" w:val="clear"/>
        <w:spacing w:after="0" w:line="270"/>
      </w:pPr>
      <w:r>
        <w:rPr>
          <w:rFonts w:ascii="Calibri" w:cs="Calibri" w:eastAsia="Calibri" w:hAnsi="Calibri"/>
          <w:color w:val="1F1F1F"/>
          <w:sz w:val="20"/>
          <w:szCs w:val="20"/>
        </w:rPr>
        <w:t xml:space="preserve">Simple interest, or at most monthly capitalisation; and the effective annual rate stated on the face of the agreement alongside the nominal rate, with the Cost of Credit table completed.</w:t>
      </w:r>
    </w:p>
    <w:p>
      <w:pPr>
        <w:spacing w:after="140"/>
      </w:pPr>
      <w:r>
        <w:rPr>
          <w:rFonts w:ascii="Calibri" w:cs="Calibri" w:eastAsia="Calibri" w:hAnsi="Calibri"/>
          <w:color w:val="1F1F1F"/>
          <w:sz w:val="2"/>
          <w:szCs w:val="2"/>
        </w:rPr>
        <w:t xml:space="preserve"/>
      </w:r>
    </w:p>
    <w:p>
      <w:pPr>
        <w:pStyle w:val="Heading2"/>
        <w:spacing w:after="100" w:before="260"/>
      </w:pPr>
      <w:r>
        <w:rPr>
          <w:rFonts w:ascii="Calibri" w:cs="Calibri" w:eastAsia="Calibri" w:hAnsi="Calibri"/>
          <w:b/>
          <w:bCs/>
          <w:color w:val="1F1F1F"/>
          <w:sz w:val="23"/>
          <w:szCs w:val="23"/>
        </w:rPr>
        <w:t xml:space="preserve">The payment dates are hard-coded and will break</w:t>
      </w:r>
    </w:p>
    <w:p>
      <w:pPr>
        <w:spacing w:after="120" w:line="276"/>
      </w:pPr>
      <w:r>
        <w:rPr>
          <w:rFonts w:ascii="Calibri" w:cs="Calibri" w:eastAsia="Calibri" w:hAnsi="Calibri"/>
          <w:b/>
          <w:bCs/>
          <w:color w:val="A32E2E"/>
          <w:sz w:val="15"/>
          <w:szCs w:val="15"/>
        </w:rPr>
        <w:t xml:space="preserve">  [MUST CHANGE]  </w:t>
      </w:r>
      <w:r>
        <w:rPr>
          <w:rFonts w:ascii="Calibri" w:cs="Calibri" w:eastAsia="Calibri" w:hAnsi="Calibri"/>
          <w:color w:val="1F1F1F"/>
          <w:sz w:val="20"/>
          <w:szCs w:val="20"/>
        </w:rPr>
        <w:t xml:space="preserve"> Clause 8.1.1 fixes the first R100 000 instalment at </w:t>
      </w:r>
      <w:r>
        <w:rPr>
          <w:rFonts w:ascii="Calibri" w:cs="Calibri" w:eastAsia="Calibri" w:hAnsi="Calibri"/>
          <w:b/>
          <w:bCs/>
          <w:color w:val="1F1F1F"/>
          <w:sz w:val="20"/>
          <w:szCs w:val="20"/>
        </w:rPr>
        <w:t xml:space="preserve">31 August 2026</w:t>
      </w:r>
      <w:r>
        <w:rPr>
          <w:rFonts w:ascii="Calibri" w:cs="Calibri" w:eastAsia="Calibri" w:hAnsi="Calibri"/>
          <w:color w:val="1F1F1F"/>
          <w:sz w:val="20"/>
          <w:szCs w:val="20"/>
        </w:rPr>
        <w:t xml:space="preserve">. But cl 5.1 gives 14 calendar days from signature for suspensive conditions — extendable by Plane Tree "in its sole and absolute discretion" — and cl 6.2 then gives them a further 14 days to pay out. On any realistic timeline </w:t>
      </w:r>
      <w:r>
        <w:rPr>
          <w:rFonts w:ascii="Calibri" w:cs="Calibri" w:eastAsia="Calibri" w:hAnsi="Calibri"/>
          <w:b/>
          <w:bCs/>
          <w:color w:val="1F1F1F"/>
          <w:sz w:val="20"/>
          <w:szCs w:val="20"/>
        </w:rPr>
        <w:t xml:space="preserve">the first instalment falls due before the money arrives</w:t>
      </w:r>
      <w:r>
        <w:rPr>
          <w:rFonts w:ascii="Calibri" w:cs="Calibri" w:eastAsia="Calibri" w:hAnsi="Calibri"/>
          <w:color w:val="1F1F1F"/>
          <w:sz w:val="20"/>
          <w:szCs w:val="20"/>
        </w:rPr>
        <w:t xml:space="preserve">. Clause 14.1.2 makes non-payment on due date an Event of Default, and cl 8.2 then accelerates the whole R2.4m.</w:t>
      </w:r>
    </w:p>
    <w:p>
      <w:pPr>
        <w:pBdr>
          <w:top w:val="single" w:color="A85A2E" w:sz="6" w:space="8"/>
          <w:left w:val="single" w:color="A85A2E" w:sz="6" w:space="8"/>
          <w:right w:val="single" w:color="A85A2E" w:sz="6" w:space="8"/>
        </w:pBdr>
        <w:shd w:fill="F5E9E0" w:color="auto" w:val="clear"/>
        <w:spacing w:after="40" w:before="120"/>
      </w:pPr>
      <w:r>
        <w:rPr>
          <w:rFonts w:ascii="Calibri" w:cs="Calibri" w:eastAsia="Calibri" w:hAnsi="Calibri"/>
          <w:b/>
          <w:bCs/>
          <w:color w:val="A85A2E"/>
          <w:sz w:val="16"/>
          <w:szCs w:val="16"/>
        </w:rPr>
        <w:t xml:space="preserve">ASK FOR</w:t>
      </w:r>
    </w:p>
    <w:p>
      <w:pPr>
        <w:pBdr>
          <w:left w:val="single" w:color="A85A2E" w:sz="6" w:space="8"/>
          <w:bottom w:val="single" w:color="A85A2E" w:sz="6" w:space="8"/>
          <w:right w:val="single" w:color="A85A2E" w:sz="6" w:space="8"/>
        </w:pBdr>
        <w:shd w:fill="F5E9E0" w:color="auto" w:val="clear"/>
        <w:spacing w:after="0" w:line="270"/>
      </w:pPr>
      <w:r>
        <w:rPr>
          <w:rFonts w:ascii="Calibri" w:cs="Calibri" w:eastAsia="Calibri" w:hAnsi="Calibri"/>
          <w:color w:val="1F1F1F"/>
          <w:sz w:val="20"/>
          <w:szCs w:val="20"/>
        </w:rPr>
        <w:t xml:space="preserve">Every payment date keyed to the actual Drawdown Date — "the last day of the first calendar month following the Drawdown Date" — never to a fixed calendar date. </w:t>
      </w:r>
      <w:r>
        <w:rPr>
          <w:rFonts w:ascii="Calibri" w:cs="Calibri" w:eastAsia="Calibri" w:hAnsi="Calibri"/>
          <w:b/>
          <w:bCs/>
          <w:color w:val="1F1F1F"/>
          <w:sz w:val="20"/>
          <w:szCs w:val="20"/>
        </w:rPr>
        <w:t xml:space="preserve">This is the cheapest and most important single amendment in the package.</w:t>
      </w:r>
    </w:p>
    <w:p>
      <w:pPr>
        <w:spacing w:after="140"/>
      </w:pPr>
      <w:r>
        <w:rPr>
          <w:rFonts w:ascii="Calibri" w:cs="Calibri" w:eastAsia="Calibri" w:hAnsi="Calibri"/>
          <w:color w:val="1F1F1F"/>
          <w:sz w:val="2"/>
          <w:szCs w:val="2"/>
        </w:rPr>
        <w:t xml:space="preserve"/>
      </w:r>
    </w:p>
    <w:p>
      <w:pPr>
        <w:pStyle w:val="Heading1"/>
        <w:pBdr>
          <w:bottom w:val="single" w:color="A85A2E" w:sz="6" w:space="6"/>
        </w:pBdr>
        <w:spacing w:after="160" w:before="400"/>
      </w:pPr>
      <w:r>
        <w:rPr>
          <w:rFonts w:ascii="Calibri" w:cs="Calibri" w:eastAsia="Calibri" w:hAnsi="Calibri"/>
          <w:b/>
          <w:bCs/>
          <w:color w:val="1F1F1F"/>
          <w:sz w:val="30"/>
          <w:szCs w:val="30"/>
        </w:rPr>
        <w:t xml:space="preserve">3.  Urgent — the "AOD / invoice for legal fees" request</w:t>
      </w:r>
    </w:p>
    <w:p>
      <w:pPr>
        <w:spacing w:after="120" w:line="276"/>
      </w:pPr>
      <w:r>
        <w:rPr>
          <w:rFonts w:ascii="Calibri" w:cs="Calibri" w:eastAsia="Calibri" w:hAnsi="Calibri"/>
          <w:color w:val="1F1F1F"/>
          <w:sz w:val="20"/>
          <w:szCs w:val="20"/>
        </w:rPr>
        <w:t xml:space="preserve">Toivo’s email asks us to send </w:t>
      </w:r>
      <w:r>
        <w:rPr>
          <w:rFonts w:ascii="Calibri" w:cs="Calibri" w:eastAsia="Calibri" w:hAnsi="Calibri"/>
          <w:b/>
          <w:bCs/>
          <w:color w:val="1F1F1F"/>
          <w:sz w:val="20"/>
          <w:szCs w:val="20"/>
        </w:rPr>
        <w:t xml:space="preserve">"your company details to be used in the AOD/invoice for legal fees."</w:t>
      </w:r>
      <w:r>
        <w:rPr>
          <w:rFonts w:ascii="Calibri" w:cs="Calibri" w:eastAsia="Calibri" w:hAnsi="Calibri"/>
          <w:color w:val="1F1F1F"/>
          <w:sz w:val="20"/>
          <w:szCs w:val="20"/>
        </w:rPr>
        <w:t xml:space="preserve"> Do not send them. Three reasons, in ascending order of seriousness.</w:t>
      </w:r>
    </w:p>
    <w:p>
      <w:pPr>
        <w:pStyle w:val="Heading2"/>
        <w:spacing w:after="100" w:before="260"/>
      </w:pPr>
      <w:r>
        <w:rPr>
          <w:rFonts w:ascii="Calibri" w:cs="Calibri" w:eastAsia="Calibri" w:hAnsi="Calibri"/>
          <w:b/>
          <w:bCs/>
          <w:color w:val="1F1F1F"/>
          <w:sz w:val="23"/>
          <w:szCs w:val="23"/>
        </w:rPr>
        <w:t xml:space="preserve">(a)  We are probably not liable for these fees at all — and there is binding SCA authority</w:t>
      </w:r>
    </w:p>
    <w:p>
      <w:pPr>
        <w:spacing w:after="120" w:line="276"/>
      </w:pPr>
      <w:r>
        <w:rPr>
          <w:rFonts w:ascii="Calibri" w:cs="Calibri" w:eastAsia="Calibri" w:hAnsi="Calibri"/>
          <w:color w:val="1F1F1F"/>
          <w:sz w:val="20"/>
          <w:szCs w:val="20"/>
        </w:rPr>
        <w:t xml:space="preserve">Loan cl 16 and Pledge cl 9 say the Borrower pays all costs of drafting and implementing the agreements. Their own attorney’s comment 49 says otherwise, in terms:</w:t>
      </w:r>
    </w:p>
    <w:p>
      <w:pPr>
        <w:pBdr>
          <w:left w:val="single" w:color="A85A2E" w:sz="12" w:space="10"/>
        </w:pBdr>
        <w:shd w:fill="F5F2EE" w:color="auto" w:val="clear"/>
        <w:spacing w:after="40" w:before="110" w:line="270"/>
        <w:ind w:left="340"/>
      </w:pPr>
      <w:r>
        <w:rPr>
          <w:rFonts w:ascii="Calibri" w:cs="Calibri" w:eastAsia="Calibri" w:hAnsi="Calibri"/>
          <w:i/>
          <w:iCs/>
          <w:color w:val="3A342E"/>
          <w:sz w:val="20"/>
          <w:szCs w:val="20"/>
        </w:rPr>
        <w:t xml:space="preserve">In terms of section 100 of the National Credit Act a credit provider must not charge an amount to the consumer in respect of any fee, charge, commission, expense or other amount payable by the credit provider to any third party… We will need to address this as we cannot charge the consumer the costs for the preparation of this agreement.</w:t>
      </w:r>
    </w:p>
    <w:p>
      <w:pPr>
        <w:spacing w:after="140"/>
        <w:ind w:left="340"/>
      </w:pPr>
      <w:r>
        <w:rPr>
          <w:rFonts w:ascii="Calibri" w:cs="Calibri" w:eastAsia="Calibri" w:hAnsi="Calibri"/>
          <w:b/>
          <w:bCs/>
          <w:color w:val="666057"/>
          <w:sz w:val="16"/>
          <w:szCs w:val="16"/>
        </w:rPr>
        <w:t xml:space="preserve">Their comment 49</w:t>
      </w:r>
    </w:p>
    <w:p>
      <w:pPr>
        <w:spacing w:after="120" w:line="276"/>
      </w:pPr>
      <w:r>
        <w:rPr>
          <w:rFonts w:ascii="Calibri" w:cs="Calibri" w:eastAsia="Calibri" w:hAnsi="Calibri"/>
          <w:color w:val="1F1F1F"/>
          <w:sz w:val="20"/>
          <w:szCs w:val="20"/>
        </w:rPr>
        <w:t xml:space="preserve">He is right, and the position hardened last year. In </w:t>
      </w:r>
      <w:r>
        <w:rPr>
          <w:rFonts w:ascii="Calibri" w:cs="Calibri" w:eastAsia="Calibri" w:hAnsi="Calibri"/>
          <w:i/>
          <w:iCs/>
          <w:color w:val="1F1F1F"/>
          <w:sz w:val="20"/>
          <w:szCs w:val="20"/>
        </w:rPr>
        <w:t xml:space="preserve">National Credit Regulator v National Consumer Tribunal</w:t>
      </w:r>
      <w:r>
        <w:rPr>
          <w:rFonts w:ascii="Calibri" w:cs="Calibri" w:eastAsia="Calibri" w:hAnsi="Calibri"/>
          <w:color w:val="1F1F1F"/>
          <w:sz w:val="20"/>
          <w:szCs w:val="20"/>
        </w:rPr>
        <w:t xml:space="preserve"> [2025] ZASCA 132; 2026 (2) SA 455 (SCA) — the "on-the-road fees" case — the SCA held that </w:t>
      </w:r>
      <w:r>
        <w:rPr>
          <w:rFonts w:ascii="Calibri" w:cs="Calibri" w:eastAsia="Calibri" w:hAnsi="Calibri"/>
          <w:b/>
          <w:bCs/>
          <w:color w:val="1F1F1F"/>
          <w:sz w:val="20"/>
          <w:szCs w:val="20"/>
        </w:rPr>
        <w:t xml:space="preserve">s101(1) read with s102(1) contains a closed list</w:t>
      </w:r>
      <w:r>
        <w:rPr>
          <w:rFonts w:ascii="Calibri" w:cs="Calibri" w:eastAsia="Calibri" w:hAnsi="Calibri"/>
          <w:color w:val="1F1F1F"/>
          <w:sz w:val="20"/>
          <w:szCs w:val="20"/>
        </w:rPr>
        <w:t xml:space="preserve"> of the permissible charges a credit provider may require a consumer to pay, and that each charge must be examined </w:t>
      </w:r>
      <w:r>
        <w:rPr>
          <w:rFonts w:ascii="Calibri" w:cs="Calibri" w:eastAsia="Calibri" w:hAnsi="Calibri"/>
          <w:b/>
          <w:bCs/>
          <w:color w:val="1F1F1F"/>
          <w:sz w:val="20"/>
          <w:szCs w:val="20"/>
        </w:rPr>
        <w:t xml:space="preserve">on its substance, not its label</w:t>
      </w:r>
      <w:r>
        <w:rPr>
          <w:rFonts w:ascii="Calibri" w:cs="Calibri" w:eastAsia="Calibri" w:hAnsi="Calibri"/>
          <w:color w:val="1F1F1F"/>
          <w:sz w:val="20"/>
          <w:szCs w:val="20"/>
        </w:rPr>
        <w:t xml:space="preserve">. Drafting fees are not on that list. The initiation fee under s101(1)(b) is the statutorily permitted, capped recovery for originating a credit agreement — and Plane Tree has disclosed it as NIL.</w:t>
      </w:r>
    </w:p>
    <w:p>
      <w:pPr>
        <w:spacing w:after="120" w:line="276"/>
      </w:pPr>
      <w:r>
        <w:rPr>
          <w:rFonts w:ascii="Calibri" w:cs="Calibri" w:eastAsia="Calibri" w:hAnsi="Calibri"/>
          <w:color w:val="1F1F1F"/>
          <w:sz w:val="20"/>
          <w:szCs w:val="20"/>
        </w:rPr>
        <w:t xml:space="preserve">Note the distinction they may try: legal fees </w:t>
      </w:r>
      <w:r>
        <w:rPr>
          <w:rFonts w:ascii="Calibri" w:cs="Calibri" w:eastAsia="Calibri" w:hAnsi="Calibri"/>
          <w:i/>
          <w:iCs/>
          <w:color w:val="1F1F1F"/>
          <w:sz w:val="20"/>
          <w:szCs w:val="20"/>
        </w:rPr>
        <w:t xml:space="preserve">are</w:t>
      </w:r>
      <w:r>
        <w:rPr>
          <w:rFonts w:ascii="Calibri" w:cs="Calibri" w:eastAsia="Calibri" w:hAnsi="Calibri"/>
          <w:color w:val="1F1F1F"/>
          <w:sz w:val="20"/>
          <w:szCs w:val="20"/>
        </w:rPr>
        <w:t xml:space="preserve"> recoverable as collection costs under s101(1)(g) — but that covers fees incurred in </w:t>
      </w:r>
      <w:r>
        <w:rPr>
          <w:rFonts w:ascii="Calibri" w:cs="Calibri" w:eastAsia="Calibri" w:hAnsi="Calibri"/>
          <w:b/>
          <w:bCs/>
          <w:color w:val="1F1F1F"/>
          <w:sz w:val="20"/>
          <w:szCs w:val="20"/>
        </w:rPr>
        <w:t xml:space="preserve">enforcing</w:t>
      </w:r>
      <w:r>
        <w:rPr>
          <w:rFonts w:ascii="Calibri" w:cs="Calibri" w:eastAsia="Calibri" w:hAnsi="Calibri"/>
          <w:color w:val="1F1F1F"/>
          <w:sz w:val="20"/>
          <w:szCs w:val="20"/>
        </w:rPr>
        <w:t xml:space="preserve"> the consumer’s obligations, not in originating the agreement.</w:t>
      </w:r>
    </w:p>
    <w:p>
      <w:pPr>
        <w:pStyle w:val="Heading2"/>
        <w:spacing w:after="100" w:before="260"/>
      </w:pPr>
      <w:r>
        <w:rPr>
          <w:rFonts w:ascii="Calibri" w:cs="Calibri" w:eastAsia="Calibri" w:hAnsi="Calibri"/>
          <w:b/>
          <w:bCs/>
          <w:color w:val="1F1F1F"/>
          <w:sz w:val="23"/>
          <w:szCs w:val="23"/>
        </w:rPr>
        <w:t xml:space="preserve">(b)  The company-invoice route is that same attorney’s stated workaround</w:t>
      </w:r>
    </w:p>
    <w:p>
      <w:pPr>
        <w:spacing w:after="120" w:line="276"/>
      </w:pPr>
      <w:r>
        <w:rPr>
          <w:rFonts w:ascii="Calibri" w:cs="Calibri" w:eastAsia="Calibri" w:hAnsi="Calibri"/>
          <w:color w:val="1F1F1F"/>
          <w:sz w:val="20"/>
          <w:szCs w:val="20"/>
        </w:rPr>
        <w:t xml:space="preserve">Comment 49 continues:</w:t>
      </w:r>
    </w:p>
    <w:p>
      <w:pPr>
        <w:pBdr>
          <w:left w:val="single" w:color="A85A2E" w:sz="12" w:space="10"/>
        </w:pBdr>
        <w:shd w:fill="F5F2EE" w:color="auto" w:val="clear"/>
        <w:spacing w:after="40" w:before="110" w:line="270"/>
        <w:ind w:left="340"/>
      </w:pPr>
      <w:r>
        <w:rPr>
          <w:rFonts w:ascii="Calibri" w:cs="Calibri" w:eastAsia="Calibri" w:hAnsi="Calibri"/>
          <w:i/>
          <w:iCs/>
          <w:color w:val="3A342E"/>
          <w:sz w:val="20"/>
          <w:szCs w:val="20"/>
        </w:rPr>
        <w:t xml:space="preserve">We can possibly have his company pay these amounts but it is not strictly permitted.</w:t>
      </w:r>
    </w:p>
    <w:p>
      <w:pPr>
        <w:spacing w:after="140"/>
        <w:ind w:left="340"/>
      </w:pPr>
      <w:r>
        <w:rPr>
          <w:rFonts w:ascii="Calibri" w:cs="Calibri" w:eastAsia="Calibri" w:hAnsi="Calibri"/>
          <w:b/>
          <w:bCs/>
          <w:color w:val="666057"/>
          <w:sz w:val="16"/>
          <w:szCs w:val="16"/>
        </w:rPr>
        <w:t xml:space="preserve">Their comment 49, continued</w:t>
      </w:r>
    </w:p>
    <w:p>
      <w:pPr>
        <w:spacing w:after="120" w:line="276"/>
      </w:pPr>
      <w:r>
        <w:rPr>
          <w:rFonts w:ascii="Calibri" w:cs="Calibri" w:eastAsia="Calibri" w:hAnsi="Calibri"/>
          <w:color w:val="1F1F1F"/>
          <w:sz w:val="20"/>
          <w:szCs w:val="20"/>
        </w:rPr>
        <w:t xml:space="preserve">The request in Toivo’s email is the execution of that workaround. If we supply company details we become a knowing participant in routing a charge around a statutory prohibition. That is bad for us twice over: we pay money we may not owe, </w:t>
      </w:r>
      <w:r>
        <w:rPr>
          <w:rFonts w:ascii="Calibri" w:cs="Calibri" w:eastAsia="Calibri" w:hAnsi="Calibri"/>
          <w:b/>
          <w:bCs/>
          <w:i/>
          <w:iCs/>
          <w:color w:val="1F1F1F"/>
          <w:sz w:val="20"/>
          <w:szCs w:val="20"/>
        </w:rPr>
        <w:t xml:space="preserve">and</w:t>
      </w:r>
      <w:r>
        <w:rPr>
          <w:rFonts w:ascii="Calibri" w:cs="Calibri" w:eastAsia="Calibri" w:hAnsi="Calibri"/>
          <w:color w:val="1F1F1F"/>
          <w:sz w:val="20"/>
          <w:szCs w:val="20"/>
        </w:rPr>
        <w:t xml:space="preserve"> we create a paper trail showing both parties knew.</w:t>
      </w:r>
    </w:p>
    <w:p>
      <w:pPr>
        <w:pBdr>
          <w:top w:val="single" w:color="A85A2E" w:sz="6" w:space="8"/>
          <w:left w:val="single" w:color="A85A2E" w:sz="6" w:space="8"/>
          <w:right w:val="single" w:color="A85A2E" w:sz="6" w:space="8"/>
        </w:pBdr>
        <w:shd w:fill="F5E9E0" w:color="auto" w:val="clear"/>
        <w:spacing w:after="40" w:before="120"/>
      </w:pPr>
      <w:r>
        <w:rPr>
          <w:rFonts w:ascii="Calibri" w:cs="Calibri" w:eastAsia="Calibri" w:hAnsi="Calibri"/>
          <w:b/>
          <w:bCs/>
          <w:color w:val="A85A2E"/>
          <w:sz w:val="16"/>
          <w:szCs w:val="16"/>
        </w:rPr>
        <w:t xml:space="preserve">IN FAIRNESS</w:t>
      </w:r>
    </w:p>
    <w:p>
      <w:pPr>
        <w:pBdr>
          <w:left w:val="single" w:color="A85A2E" w:sz="6" w:space="8"/>
          <w:bottom w:val="single" w:color="A85A2E" w:sz="6" w:space="8"/>
          <w:right w:val="single" w:color="A85A2E" w:sz="6" w:space="8"/>
        </w:pBdr>
        <w:shd w:fill="F5E9E0" w:color="auto" w:val="clear"/>
        <w:spacing w:after="0" w:line="270"/>
      </w:pPr>
      <w:r>
        <w:rPr>
          <w:rFonts w:ascii="Calibri" w:cs="Calibri" w:eastAsia="Calibri" w:hAnsi="Calibri"/>
          <w:color w:val="1F1F1F"/>
          <w:sz w:val="20"/>
          <w:szCs w:val="20"/>
        </w:rPr>
        <w:t xml:space="preserve">This route is not automatically fatal. In </w:t>
      </w:r>
      <w:r>
        <w:rPr>
          <w:rFonts w:ascii="Calibri" w:cs="Calibri" w:eastAsia="Calibri" w:hAnsi="Calibri"/>
          <w:i/>
          <w:iCs/>
          <w:color w:val="1F1F1F"/>
          <w:sz w:val="20"/>
          <w:szCs w:val="20"/>
        </w:rPr>
        <w:t xml:space="preserve">Uys NO v National Credit Regulator</w:t>
      </w:r>
      <w:r>
        <w:rPr>
          <w:rFonts w:ascii="Calibri" w:cs="Calibri" w:eastAsia="Calibri" w:hAnsi="Calibri"/>
          <w:color w:val="1F1F1F"/>
          <w:sz w:val="20"/>
          <w:szCs w:val="20"/>
        </w:rPr>
        <w:t xml:space="preserve"> [2025] ZASCA 34 the SCA held there is </w:t>
      </w:r>
      <w:r>
        <w:rPr>
          <w:rFonts w:ascii="Calibri" w:cs="Calibri" w:eastAsia="Calibri" w:hAnsi="Calibri"/>
          <w:b/>
          <w:bCs/>
          <w:color w:val="1F1F1F"/>
          <w:sz w:val="20"/>
          <w:szCs w:val="20"/>
        </w:rPr>
        <w:t xml:space="preserve">nothing unlawful in structuring transactions so as to avoid the application of the NCA</w:t>
      </w:r>
      <w:r>
        <w:rPr>
          <w:rFonts w:ascii="Calibri" w:cs="Calibri" w:eastAsia="Calibri" w:hAnsi="Calibri"/>
          <w:color w:val="1F1F1F"/>
          <w:sz w:val="20"/>
          <w:szCs w:val="20"/>
        </w:rPr>
        <w:t xml:space="preserve">, and that a transaction is not simulated merely because it was arranged to avoid regulatory consequences — simulation requires a shared dishonest intention to disguise. If our company genuinely receives a genuine service and genuinely owes the fee, Uys protects the arrangement. If it is a pass-through so that Tyron ultimately bears the cost of drafting his own credit agreement, s100(1) and the substance-over-label approach apply. That is a question of fact — which is precisely why we should ask the questions rather than assume.</w:t>
      </w:r>
    </w:p>
    <w:p>
      <w:pPr>
        <w:spacing w:after="140"/>
      </w:pPr>
      <w:r>
        <w:rPr>
          <w:rFonts w:ascii="Calibri" w:cs="Calibri" w:eastAsia="Calibri" w:hAnsi="Calibri"/>
          <w:color w:val="1F1F1F"/>
          <w:sz w:val="2"/>
          <w:szCs w:val="2"/>
        </w:rPr>
        <w:t xml:space="preserve"/>
      </w:r>
    </w:p>
    <w:p>
      <w:pPr>
        <w:pStyle w:val="Heading2"/>
        <w:spacing w:after="100" w:before="260"/>
      </w:pPr>
      <w:r>
        <w:rPr>
          <w:rFonts w:ascii="Calibri" w:cs="Calibri" w:eastAsia="Calibri" w:hAnsi="Calibri"/>
          <w:b/>
          <w:bCs/>
          <w:color w:val="1F1F1F"/>
          <w:sz w:val="23"/>
          <w:szCs w:val="23"/>
        </w:rPr>
        <w:t xml:space="preserve">(c)  An AOD is a separate, independently enforceable debt — and this exact device has been struck down</w:t>
      </w:r>
    </w:p>
    <w:p>
      <w:pPr>
        <w:spacing w:after="120" w:line="276"/>
      </w:pPr>
      <w:r>
        <w:rPr>
          <w:rFonts w:ascii="Calibri" w:cs="Calibri" w:eastAsia="Calibri" w:hAnsi="Calibri"/>
          <w:color w:val="1F1F1F"/>
          <w:sz w:val="20"/>
          <w:szCs w:val="20"/>
        </w:rPr>
        <w:t xml:space="preserve">An Acknowledgement of Debt is typically a liquid document: it can support provisional sentence or summary judgment, often with a consent to judgment attached. Worse, where an AOD contains a </w:t>
      </w:r>
      <w:r>
        <w:rPr>
          <w:rFonts w:ascii="Calibri" w:cs="Calibri" w:eastAsia="Calibri" w:hAnsi="Calibri"/>
          <w:b/>
          <w:bCs/>
          <w:color w:val="1F1F1F"/>
          <w:sz w:val="20"/>
          <w:szCs w:val="20"/>
        </w:rPr>
        <w:t xml:space="preserve">deferral of payment plus interest, fees or charges</w:t>
      </w:r>
      <w:r>
        <w:rPr>
          <w:rFonts w:ascii="Calibri" w:cs="Calibri" w:eastAsia="Calibri" w:hAnsi="Calibri"/>
          <w:color w:val="1F1F1F"/>
          <w:sz w:val="20"/>
          <w:szCs w:val="20"/>
        </w:rPr>
        <w:t xml:space="preserve">, it is likely itself a credit agreement, which drags in registration, the s101 closed list and the Regulation 42 caps.</w:t>
      </w:r>
    </w:p>
    <w:p>
      <w:pPr>
        <w:spacing w:after="120" w:line="276"/>
      </w:pPr>
      <w:r>
        <w:rPr>
          <w:rFonts w:ascii="Calibri" w:cs="Calibri" w:eastAsia="Calibri" w:hAnsi="Calibri"/>
          <w:color w:val="1F1F1F"/>
          <w:sz w:val="20"/>
          <w:szCs w:val="20"/>
        </w:rPr>
        <w:t xml:space="preserve">And in </w:t>
      </w:r>
      <w:r>
        <w:rPr>
          <w:rFonts w:ascii="Calibri" w:cs="Calibri" w:eastAsia="Calibri" w:hAnsi="Calibri"/>
          <w:b/>
          <w:bCs/>
          <w:i/>
          <w:iCs/>
          <w:color w:val="1F1F1F"/>
          <w:sz w:val="20"/>
          <w:szCs w:val="20"/>
        </w:rPr>
        <w:t xml:space="preserve">Absa Bank Ltd v Serfontein</w:t>
      </w:r>
      <w:r>
        <w:rPr>
          <w:rFonts w:ascii="Calibri" w:cs="Calibri" w:eastAsia="Calibri" w:hAnsi="Calibri"/>
          <w:color w:val="1F1F1F"/>
          <w:sz w:val="20"/>
          <w:szCs w:val="20"/>
        </w:rPr>
        <w:t xml:space="preserve"> (SCA, 10 February 2025) an AOD concluded </w:t>
      </w:r>
      <w:r>
        <w:rPr>
          <w:rFonts w:ascii="Calibri" w:cs="Calibri" w:eastAsia="Calibri" w:hAnsi="Calibri"/>
          <w:b/>
          <w:bCs/>
          <w:color w:val="1F1F1F"/>
          <w:sz w:val="20"/>
          <w:szCs w:val="20"/>
        </w:rPr>
        <w:t xml:space="preserve">separately</w:t>
      </w:r>
      <w:r>
        <w:rPr>
          <w:rFonts w:ascii="Calibri" w:cs="Calibri" w:eastAsia="Calibri" w:hAnsi="Calibri"/>
          <w:color w:val="1F1F1F"/>
          <w:sz w:val="20"/>
          <w:szCs w:val="20"/>
        </w:rPr>
        <w:t xml:space="preserve"> from the credit agreement, incorporating a power of attorney permitting execution without court process, was held to be an unlawful </w:t>
      </w:r>
      <w:r>
        <w:rPr>
          <w:rFonts w:ascii="Calibri" w:cs="Calibri" w:eastAsia="Calibri" w:hAnsi="Calibri"/>
          <w:b/>
          <w:bCs/>
          <w:color w:val="1F1F1F"/>
          <w:sz w:val="20"/>
          <w:szCs w:val="20"/>
        </w:rPr>
        <w:t xml:space="preserve">supplementary agreement</w:t>
      </w:r>
      <w:r>
        <w:rPr>
          <w:rFonts w:ascii="Calibri" w:cs="Calibri" w:eastAsia="Calibri" w:hAnsi="Calibri"/>
          <w:color w:val="1F1F1F"/>
          <w:sz w:val="20"/>
          <w:szCs w:val="20"/>
        </w:rPr>
        <w:t xml:space="preserve"> under s91 — unlawful under s90(2)(j), (k) and (a)(i), </w:t>
      </w:r>
      <w:r>
        <w:rPr>
          <w:rFonts w:ascii="Calibri" w:cs="Calibri" w:eastAsia="Calibri" w:hAnsi="Calibri"/>
          <w:b/>
          <w:bCs/>
          <w:color w:val="1F1F1F"/>
          <w:sz w:val="20"/>
          <w:szCs w:val="20"/>
        </w:rPr>
        <w:t xml:space="preserve">unseverable</w:t>
      </w:r>
      <w:r>
        <w:rPr>
          <w:rFonts w:ascii="Calibri" w:cs="Calibri" w:eastAsia="Calibri" w:hAnsi="Calibri"/>
          <w:color w:val="1F1F1F"/>
          <w:sz w:val="20"/>
          <w:szCs w:val="20"/>
        </w:rPr>
        <w:t xml:space="preserve">, with the agreement declared unlawful and the resulting sale void from the outset. (Citation to be confirmed — see section 9.3.)</w:t>
      </w:r>
    </w:p>
    <w:p>
      <w:pPr>
        <w:pBdr>
          <w:top w:val="single" w:color="A32E2E" w:sz="6" w:space="8"/>
          <w:left w:val="single" w:color="A32E2E" w:sz="6" w:space="8"/>
          <w:right w:val="single" w:color="A32E2E" w:sz="6" w:space="8"/>
        </w:pBdr>
        <w:shd w:fill="F8E9E7" w:color="auto" w:val="clear"/>
        <w:spacing w:after="40" w:before="120"/>
      </w:pPr>
      <w:r>
        <w:rPr>
          <w:rFonts w:ascii="Calibri" w:cs="Calibri" w:eastAsia="Calibri" w:hAnsi="Calibri"/>
          <w:b/>
          <w:bCs/>
          <w:color w:val="A32E2E"/>
          <w:sz w:val="16"/>
          <w:szCs w:val="16"/>
        </w:rPr>
        <w:t xml:space="preserve">NOTE ALSO</w:t>
      </w:r>
    </w:p>
    <w:p>
      <w:pPr>
        <w:pBdr>
          <w:left w:val="single" w:color="A32E2E" w:sz="6" w:space="8"/>
          <w:right w:val="single" w:color="A32E2E" w:sz="6" w:space="8"/>
        </w:pBdr>
        <w:shd w:fill="F8E9E7" w:color="auto" w:val="clear"/>
        <w:spacing w:after="70" w:line="270"/>
      </w:pPr>
      <w:r>
        <w:rPr>
          <w:rFonts w:ascii="Calibri" w:cs="Calibri" w:eastAsia="Calibri" w:hAnsi="Calibri"/>
          <w:color w:val="1F1F1F"/>
          <w:sz w:val="20"/>
          <w:szCs w:val="20"/>
        </w:rPr>
        <w:t xml:space="preserve">The Cost of Credit table records </w:t>
      </w:r>
      <w:r>
        <w:rPr>
          <w:rFonts w:ascii="Calibri" w:cs="Calibri" w:eastAsia="Calibri" w:hAnsi="Calibri"/>
          <w:b/>
          <w:bCs/>
          <w:color w:val="1F1F1F"/>
          <w:sz w:val="20"/>
          <w:szCs w:val="20"/>
        </w:rPr>
        <w:t xml:space="preserve">INITIATION FEE: NIL</w:t>
      </w:r>
      <w:r>
        <w:rPr>
          <w:rFonts w:ascii="Calibri" w:cs="Calibri" w:eastAsia="Calibri" w:hAnsi="Calibri"/>
          <w:color w:val="1F1F1F"/>
          <w:sz w:val="20"/>
          <w:szCs w:val="20"/>
        </w:rPr>
        <w:t xml:space="preserve"> and </w:t>
      </w:r>
      <w:r>
        <w:rPr>
          <w:rFonts w:ascii="Calibri" w:cs="Calibri" w:eastAsia="Calibri" w:hAnsi="Calibri"/>
          <w:b/>
          <w:bCs/>
          <w:color w:val="1F1F1F"/>
          <w:sz w:val="20"/>
          <w:szCs w:val="20"/>
        </w:rPr>
        <w:t xml:space="preserve">SERVICE FEE: NIL</w:t>
      </w:r>
      <w:r>
        <w:rPr>
          <w:rFonts w:ascii="Calibri" w:cs="Calibri" w:eastAsia="Calibri" w:hAnsi="Calibri"/>
          <w:color w:val="1F1F1F"/>
          <w:sz w:val="20"/>
          <w:szCs w:val="20"/>
        </w:rPr>
        <w:t xml:space="preserve">. They have contractually agreed to charge us nothing, and are now seeking the same money through a side document. Hold them to the table.</w:t>
      </w:r>
    </w:p>
    <w:p>
      <w:pPr>
        <w:pBdr>
          <w:left w:val="single" w:color="A32E2E" w:sz="6" w:space="8"/>
          <w:bottom w:val="single" w:color="A32E2E" w:sz="6" w:space="8"/>
          <w:right w:val="single" w:color="A32E2E" w:sz="6" w:space="8"/>
        </w:pBdr>
        <w:shd w:fill="F8E9E7" w:color="auto" w:val="clear"/>
        <w:spacing w:after="0" w:line="270"/>
      </w:pPr>
      <w:r>
        <w:rPr>
          <w:rFonts w:ascii="Calibri" w:cs="Calibri" w:eastAsia="Calibri" w:hAnsi="Calibri"/>
          <w:b/>
          <w:bCs/>
          <w:color w:val="1F1F1F"/>
          <w:sz w:val="20"/>
          <w:szCs w:val="20"/>
        </w:rPr>
        <w:t xml:space="preserve">Recommended response: </w:t>
      </w:r>
      <w:r>
        <w:rPr>
          <w:rFonts w:ascii="Calibri" w:cs="Calibri" w:eastAsia="Calibri" w:hAnsi="Calibri"/>
          <w:color w:val="1F1F1F"/>
          <w:sz w:val="20"/>
          <w:szCs w:val="20"/>
        </w:rPr>
        <w:t xml:space="preserve">do not decline rudely and do not send company details. Ask three questions (draft wording in section 8) — what is the quantum, on what basis is the Borrower liable given s100, and why an AOD rather than disclosure in the Cost of Credit table. In most cases that ends the request.</w:t>
      </w:r>
    </w:p>
    <w:p>
      <w:pPr>
        <w:spacing w:after="140"/>
      </w:pPr>
      <w:r>
        <w:rPr>
          <w:rFonts w:ascii="Calibri" w:cs="Calibri" w:eastAsia="Calibri" w:hAnsi="Calibri"/>
          <w:color w:val="1F1F1F"/>
          <w:sz w:val="2"/>
          <w:szCs w:val="2"/>
        </w:rPr>
        <w:t xml:space="preserve"/>
      </w:r>
    </w:p>
    <w:p>
      <w:pPr>
        <w:pStyle w:val="Heading1"/>
        <w:pBdr>
          <w:bottom w:val="single" w:color="A85A2E" w:sz="6" w:space="6"/>
        </w:pBdr>
        <w:spacing w:after="160" w:before="400"/>
      </w:pPr>
      <w:r>
        <w:rPr>
          <w:rFonts w:ascii="Calibri" w:cs="Calibri" w:eastAsia="Calibri" w:hAnsi="Calibri"/>
          <w:b/>
          <w:bCs/>
          <w:color w:val="1F1F1F"/>
          <w:sz w:val="30"/>
          <w:szCs w:val="30"/>
        </w:rPr>
        <w:t xml:space="preserve">4.  Loan Facility Agreement — provisions that harm us</w:t>
      </w:r>
    </w:p>
    <w:p>
      <w:pPr>
        <w:spacing w:after="120" w:line="276"/>
      </w:pPr>
      <w:r>
        <w:rPr>
          <w:rFonts w:ascii="Calibri" w:cs="Calibri" w:eastAsia="Calibri" w:hAnsi="Calibri"/>
          <w:color w:val="666057"/>
          <w:sz w:val="18"/>
          <w:szCs w:val="18"/>
        </w:rPr>
        <w:t xml:space="preserve">Ranked by exposure. Three severity levels are used throughout: MUST CHANGE, PRESS HARD, RAISE &amp; TRADE.</w:t>
      </w:r>
    </w:p>
    <w:p>
      <w:pPr>
        <w:pStyle w:val="Heading2"/>
        <w:spacing w:after="100" w:before="260"/>
      </w:pPr>
      <w:r>
        <w:rPr>
          <w:rFonts w:ascii="Calibri" w:cs="Calibri" w:eastAsia="Calibri" w:hAnsi="Calibri"/>
          <w:b/>
          <w:bCs/>
          <w:color w:val="1F1F1F"/>
          <w:sz w:val="23"/>
          <w:szCs w:val="23"/>
        </w:rPr>
        <w:t xml:space="preserve">4.1  Fixed calendar payment dates vs. floating drawdown  (cl 5.1, 6.2, 8.1, 14.1.2)</w:t>
      </w:r>
    </w:p>
    <w:p>
      <w:pPr>
        <w:spacing w:after="120" w:line="276"/>
      </w:pPr>
      <w:r>
        <w:rPr>
          <w:rFonts w:ascii="Calibri" w:cs="Calibri" w:eastAsia="Calibri" w:hAnsi="Calibri"/>
          <w:b/>
          <w:bCs/>
          <w:color w:val="A32E2E"/>
          <w:sz w:val="15"/>
          <w:szCs w:val="15"/>
        </w:rPr>
        <w:t xml:space="preserve">  [MUST CHANGE]  </w:t>
      </w:r>
      <w:r>
        <w:rPr>
          <w:rFonts w:ascii="Calibri" w:cs="Calibri" w:eastAsia="Calibri" w:hAnsi="Calibri"/>
          <w:color w:val="1F1F1F"/>
          <w:sz w:val="20"/>
          <w:szCs w:val="20"/>
        </w:rPr>
        <w:t xml:space="preserve"> Covered in section 2. The first instalment can fall due before funding. Fix: all dates keyed to the Drawdown Date; add a longstop date by which Plane Tree must fund, failing which we may walk away without cost.</w:t>
      </w:r>
    </w:p>
    <w:p>
      <w:pPr>
        <w:pStyle w:val="Heading2"/>
        <w:spacing w:after="100" w:before="260"/>
      </w:pPr>
      <w:r>
        <w:rPr>
          <w:rFonts w:ascii="Calibri" w:cs="Calibri" w:eastAsia="Calibri" w:hAnsi="Calibri"/>
          <w:b/>
          <w:bCs/>
          <w:color w:val="1F1F1F"/>
          <w:sz w:val="23"/>
          <w:szCs w:val="23"/>
        </w:rPr>
        <w:t xml:space="preserve">4.2  "Any breach" is an Event of Default — no materiality, no cure period  (cl 14.1)</w:t>
      </w:r>
    </w:p>
    <w:p>
      <w:pPr>
        <w:spacing w:after="120" w:line="276"/>
      </w:pPr>
      <w:r>
        <w:rPr>
          <w:rFonts w:ascii="Calibri" w:cs="Calibri" w:eastAsia="Calibri" w:hAnsi="Calibri"/>
          <w:b/>
          <w:bCs/>
          <w:color w:val="A32E2E"/>
          <w:sz w:val="15"/>
          <w:szCs w:val="15"/>
        </w:rPr>
        <w:t xml:space="preserve">  [MUST CHANGE]  </w:t>
      </w:r>
      <w:r>
        <w:rPr>
          <w:rFonts w:ascii="Calibri" w:cs="Calibri" w:eastAsia="Calibri" w:hAnsi="Calibri"/>
          <w:color w:val="1F1F1F"/>
          <w:sz w:val="20"/>
          <w:szCs w:val="20"/>
        </w:rPr>
        <w:t xml:space="preserve"> Clause 14.1.3 makes any breach of any term an Event of Default, and there is no remedy period anywhere in the agreement. Layered with:</w:t>
      </w:r>
    </w:p>
    <w:p>
      <w:pPr>
        <w:pStyle w:val="ListParagraph"/>
        <w:numPr>
          <w:ilvl w:val="0"/>
          <w:numId w:val="3"/>
        </w:numPr>
        <w:spacing w:after="70" w:line="270"/>
      </w:pPr>
      <w:r>
        <w:rPr>
          <w:rFonts w:ascii="Calibri" w:cs="Calibri" w:eastAsia="Calibri" w:hAnsi="Calibri"/>
          <w:b/>
          <w:bCs/>
          <w:color w:val="1F1F1F"/>
          <w:sz w:val="20"/>
          <w:szCs w:val="20"/>
        </w:rPr>
        <w:t xml:space="preserve">cl 11.1.4</w:t>
      </w:r>
      <w:r>
        <w:rPr>
          <w:rFonts w:ascii="Calibri" w:cs="Calibri" w:eastAsia="Calibri" w:hAnsi="Calibri"/>
          <w:color w:val="1F1F1F"/>
          <w:sz w:val="20"/>
          <w:szCs w:val="20"/>
        </w:rPr>
        <w:t xml:space="preserve"> — any failure to provide "accurate, complete or timely" information is a material breach;</w:t>
      </w:r>
    </w:p>
    <w:p>
      <w:pPr>
        <w:pStyle w:val="ListParagraph"/>
        <w:numPr>
          <w:ilvl w:val="0"/>
          <w:numId w:val="3"/>
        </w:numPr>
        <w:spacing w:after="70" w:line="270"/>
      </w:pPr>
      <w:r>
        <w:rPr>
          <w:rFonts w:ascii="Calibri" w:cs="Calibri" w:eastAsia="Calibri" w:hAnsi="Calibri"/>
          <w:b/>
          <w:bCs/>
          <w:color w:val="1F1F1F"/>
          <w:sz w:val="20"/>
          <w:szCs w:val="20"/>
        </w:rPr>
        <w:t xml:space="preserve">cl 14.1.9</w:t>
      </w:r>
      <w:r>
        <w:rPr>
          <w:rFonts w:ascii="Calibri" w:cs="Calibri" w:eastAsia="Calibri" w:hAnsi="Calibri"/>
          <w:color w:val="1F1F1F"/>
          <w:sz w:val="20"/>
          <w:szCs w:val="20"/>
        </w:rPr>
        <w:t xml:space="preserve"> — "does anything which may prejudice the Lender’s rights… or omits to take steps to prevent such prejudice" — open-ended and subjective;</w:t>
      </w:r>
    </w:p>
    <w:p>
      <w:pPr>
        <w:pStyle w:val="ListParagraph"/>
        <w:numPr>
          <w:ilvl w:val="0"/>
          <w:numId w:val="3"/>
        </w:numPr>
        <w:spacing w:after="70" w:line="270"/>
      </w:pPr>
      <w:r>
        <w:rPr>
          <w:rFonts w:ascii="Calibri" w:cs="Calibri" w:eastAsia="Calibri" w:hAnsi="Calibri"/>
          <w:b/>
          <w:bCs/>
          <w:color w:val="1F1F1F"/>
          <w:sz w:val="20"/>
          <w:szCs w:val="20"/>
        </w:rPr>
        <w:t xml:space="preserve">cl 14.1.7</w:t>
      </w:r>
      <w:r>
        <w:rPr>
          <w:rFonts w:ascii="Calibri" w:cs="Calibri" w:eastAsia="Calibri" w:hAnsi="Calibri"/>
          <w:color w:val="1F1F1F"/>
          <w:sz w:val="20"/>
          <w:szCs w:val="20"/>
        </w:rPr>
        <w:t xml:space="preserve"> — "or becomes financially distressed", a Companies Act s128 concept with no defined meaning for a natural person.</w:t>
      </w:r>
    </w:p>
    <w:p>
      <w:pPr>
        <w:pBdr>
          <w:top w:val="single" w:color="A85A2E" w:sz="6" w:space="8"/>
          <w:left w:val="single" w:color="A85A2E" w:sz="6" w:space="8"/>
          <w:right w:val="single" w:color="A85A2E" w:sz="6" w:space="8"/>
        </w:pBdr>
        <w:shd w:fill="F5E9E0" w:color="auto" w:val="clear"/>
        <w:spacing w:after="40" w:before="120"/>
      </w:pPr>
      <w:r>
        <w:rPr>
          <w:rFonts w:ascii="Calibri" w:cs="Calibri" w:eastAsia="Calibri" w:hAnsi="Calibri"/>
          <w:b/>
          <w:bCs/>
          <w:color w:val="A85A2E"/>
          <w:sz w:val="16"/>
          <w:szCs w:val="16"/>
        </w:rPr>
        <w:t xml:space="preserve">ASK FOR</w:t>
      </w:r>
    </w:p>
    <w:p>
      <w:pPr>
        <w:pBdr>
          <w:left w:val="single" w:color="A85A2E" w:sz="6" w:space="8"/>
          <w:bottom w:val="single" w:color="A85A2E" w:sz="6" w:space="8"/>
          <w:right w:val="single" w:color="A85A2E" w:sz="6" w:space="8"/>
        </w:pBdr>
        <w:shd w:fill="F5E9E0" w:color="auto" w:val="clear"/>
        <w:spacing w:after="0" w:line="270"/>
      </w:pPr>
      <w:r>
        <w:rPr>
          <w:rFonts w:ascii="Calibri" w:cs="Calibri" w:eastAsia="Calibri" w:hAnsi="Calibri"/>
          <w:color w:val="1F1F1F"/>
          <w:sz w:val="20"/>
          <w:szCs w:val="20"/>
        </w:rPr>
        <w:t xml:space="preserve">A materiality qualifier and a 10 business day written remedy period for all non-payment breaches (5 for payment). Delete "financially distressed". Narrow or delete cl 14.1.9.</w:t>
      </w:r>
    </w:p>
    <w:p>
      <w:pPr>
        <w:spacing w:after="140"/>
      </w:pPr>
      <w:r>
        <w:rPr>
          <w:rFonts w:ascii="Calibri" w:cs="Calibri" w:eastAsia="Calibri" w:hAnsi="Calibri"/>
          <w:color w:val="1F1F1F"/>
          <w:sz w:val="2"/>
          <w:szCs w:val="2"/>
        </w:rPr>
        <w:t xml:space="preserve"/>
      </w:r>
    </w:p>
    <w:p>
      <w:pPr>
        <w:pStyle w:val="Heading2"/>
        <w:spacing w:after="100" w:before="260"/>
      </w:pPr>
      <w:r>
        <w:rPr>
          <w:rFonts w:ascii="Calibri" w:cs="Calibri" w:eastAsia="Calibri" w:hAnsi="Calibri"/>
          <w:b/>
          <w:bCs/>
          <w:color w:val="1F1F1F"/>
          <w:sz w:val="23"/>
          <w:szCs w:val="23"/>
        </w:rPr>
        <w:t xml:space="preserve">4.3  Warranties we cannot truthfully give for twelve months  (cl 12.1)</w:t>
      </w:r>
    </w:p>
    <w:p>
      <w:pPr>
        <w:spacing w:after="120" w:line="276"/>
      </w:pPr>
      <w:r>
        <w:rPr>
          <w:rFonts w:ascii="Calibri" w:cs="Calibri" w:eastAsia="Calibri" w:hAnsi="Calibri"/>
          <w:b/>
          <w:bCs/>
          <w:color w:val="A32E2E"/>
          <w:sz w:val="15"/>
          <w:szCs w:val="15"/>
        </w:rPr>
        <w:t xml:space="preserve">  [MUST CHANGE]  </w:t>
      </w:r>
      <w:r>
        <w:rPr>
          <w:rFonts w:ascii="Calibri" w:cs="Calibri" w:eastAsia="Calibri" w:hAnsi="Calibri"/>
          <w:color w:val="1F1F1F"/>
          <w:sz w:val="20"/>
          <w:szCs w:val="20"/>
        </w:rPr>
        <w:t xml:space="preserve"> Each is absolute and continuing, and breach is an Event of Default under cl 14.1.8.</w:t>
      </w:r>
    </w:p>
    <w:tbl>
      <w:tblPr>
        <w:tblW w:type="dxa" w:w="9026"/>
        <w:tblBorders>
          <w:top w:val="single" w:color="D8D2CA" w:sz="4"/>
          <w:left w:val="single" w:color="D8D2CA" w:sz="4"/>
          <w:bottom w:val="single" w:color="D8D2CA" w:sz="4"/>
          <w:right w:val="single" w:color="D8D2CA" w:sz="4"/>
          <w:insideH w:val="single" w:color="D8D2CA" w:sz="4"/>
          <w:insideV w:val="single" w:color="D8D2CA" w:sz="4"/>
        </w:tblBorders>
      </w:tblPr>
      <w:tblGrid>
        <w:gridCol w:w="1100"/>
        <w:gridCol w:w="2800"/>
        <w:gridCol w:w="5126"/>
      </w:tblGrid>
      <w:tr>
        <w:trPr>
          <w:tblHeader/>
        </w:trPr>
        <w:tc>
          <w:tcPr>
            <w:tcW w:type="dxa" w:w="1100"/>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Clause</w:t>
            </w:r>
          </w:p>
        </w:tc>
        <w:tc>
          <w:tcPr>
            <w:tcW w:type="dxa" w:w="2800"/>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Warranty</w:t>
            </w:r>
          </w:p>
        </w:tc>
        <w:tc>
          <w:tcPr>
            <w:tcW w:type="dxa" w:w="5126"/>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Why it is dangerous</w:t>
            </w:r>
          </w:p>
        </w:tc>
      </w:tr>
      <w:tr>
        <w:trPr>
          <w:tblHeader w:val="false"/>
        </w:trPr>
        <w:tc>
          <w:tcPr>
            <w:tcW w:type="dxa" w:w="11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12.1.6</w:t>
            </w:r>
          </w:p>
        </w:tc>
        <w:tc>
          <w:tcPr>
            <w:tcW w:type="dxa" w:w="2800"/>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Full tax compliance — all returns filed, all amounts paid to SARS</w:t>
            </w:r>
          </w:p>
        </w:tc>
        <w:tc>
          <w:tcPr>
            <w:tcW w:type="dxa" w:w="51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Any assessment, objection or late return, however small, becomes an untrue representation and accelerates the loan. Qualify to "in all material respects, save as disclosed in writing".</w:t>
            </w:r>
          </w:p>
        </w:tc>
      </w:tr>
      <w:tr>
        <w:trPr>
          <w:tblHeader w:val="false"/>
        </w:trPr>
        <w:tc>
          <w:tcPr>
            <w:tcW w:type="dxa" w:w="11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12.1.3</w:t>
            </w:r>
          </w:p>
        </w:tc>
        <w:tc>
          <w:tcPr>
            <w:tcW w:type="dxa" w:w="2800"/>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"not over indebted"</w:t>
            </w:r>
          </w:p>
        </w:tc>
        <w:tc>
          <w:tcPr>
            <w:tcW w:type="dxa" w:w="51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Drafted to destroy our reckless-credit defence before it can be used — while their comment 31 admits the affordability assessment has not been done. Delete, or reduce to a statement of belief at signature only.</w:t>
            </w:r>
          </w:p>
        </w:tc>
      </w:tr>
      <w:tr>
        <w:trPr>
          <w:tblHeader w:val="false"/>
        </w:trPr>
        <w:tc>
          <w:tcPr>
            <w:tcW w:type="dxa" w:w="11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12.1.7</w:t>
            </w:r>
          </w:p>
        </w:tc>
        <w:tc>
          <w:tcPr>
            <w:tcW w:type="dxa" w:w="2800"/>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No security over any asset in favour of any other creditor, for the whole term</w:t>
            </w:r>
          </w:p>
        </w:tc>
        <w:tc>
          <w:tcPr>
            <w:tcW w:type="dxa" w:w="51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Blanket negative pledge, no basket, no carve-outs. Freezes all other finance — including asset finance on new equipment — for 12+ months.</w:t>
            </w:r>
          </w:p>
        </w:tc>
      </w:tr>
      <w:tr>
        <w:trPr>
          <w:tblHeader w:val="false"/>
        </w:trPr>
        <w:tc>
          <w:tcPr>
            <w:tcW w:type="dxa" w:w="11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12.1.4</w:t>
            </w:r>
          </w:p>
        </w:tc>
        <w:tc>
          <w:tcPr>
            <w:tcW w:type="dxa" w:w="2800"/>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"an experienced businessman… the terms are in plan language"</w:t>
            </w:r>
          </w:p>
        </w:tc>
        <w:tc>
          <w:tcPr>
            <w:tcW w:type="dxa" w:w="51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Drafted to defeat a plain-language challenge under NCA s64. Low cost to leave, but know what it is doing. (And it says "plan".)</w:t>
            </w:r>
          </w:p>
        </w:tc>
      </w:tr>
      <w:tr>
        <w:trPr>
          <w:tblHeader w:val="false"/>
        </w:trPr>
        <w:tc>
          <w:tcPr>
            <w:tcW w:type="dxa" w:w="11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12.1.13</w:t>
            </w:r>
          </w:p>
        </w:tc>
        <w:tc>
          <w:tcPr>
            <w:tcW w:type="dxa" w:w="2800"/>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Capable of performing obligations under this agreement and every collateral agreement</w:t>
            </w:r>
          </w:p>
        </w:tc>
        <w:tc>
          <w:tcPr>
            <w:tcW w:type="dxa" w:w="51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Extends the warranty into agreements we may not fully control. Limit to this agreement.</w:t>
            </w:r>
          </w:p>
        </w:tc>
      </w:tr>
    </w:tbl>
    <w:p>
      <w:pPr>
        <w:pStyle w:val="Heading2"/>
        <w:spacing w:after="100" w:before="260"/>
      </w:pPr>
      <w:r>
        <w:rPr>
          <w:rFonts w:ascii="Calibri" w:cs="Calibri" w:eastAsia="Calibri" w:hAnsi="Calibri"/>
          <w:b/>
          <w:bCs/>
          <w:color w:val="1F1F1F"/>
          <w:sz w:val="23"/>
          <w:szCs w:val="23"/>
        </w:rPr>
        <w:t xml:space="preserve">4.4  Electronic instructions — we carry 100% of the fraud risk  (cl 15)</w:t>
      </w:r>
    </w:p>
    <w:p>
      <w:pPr>
        <w:spacing w:after="120" w:line="276"/>
      </w:pPr>
      <w:r>
        <w:rPr>
          <w:rFonts w:ascii="Calibri" w:cs="Calibri" w:eastAsia="Calibri" w:hAnsi="Calibri"/>
          <w:b/>
          <w:bCs/>
          <w:color w:val="A32E2E"/>
          <w:sz w:val="15"/>
          <w:szCs w:val="15"/>
        </w:rPr>
        <w:t xml:space="preserve">  [MUST CHANGE]  </w:t>
      </w:r>
      <w:r>
        <w:rPr>
          <w:rFonts w:ascii="Calibri" w:cs="Calibri" w:eastAsia="Calibri" w:hAnsi="Calibri"/>
          <w:color w:val="1F1F1F"/>
          <w:sz w:val="20"/>
          <w:szCs w:val="20"/>
        </w:rPr>
        <w:t xml:space="preserve"> Plane Tree will act on an instruction </w:t>
      </w:r>
      <w:r>
        <w:rPr>
          <w:rFonts w:ascii="Calibri" w:cs="Calibri" w:eastAsia="Calibri" w:hAnsi="Calibri"/>
          <w:b/>
          <w:bCs/>
          <w:color w:val="1F1F1F"/>
          <w:sz w:val="20"/>
          <w:szCs w:val="20"/>
        </w:rPr>
        <w:t xml:space="preserve">"without verifying"</w:t>
      </w:r>
      <w:r>
        <w:rPr>
          <w:rFonts w:ascii="Calibri" w:cs="Calibri" w:eastAsia="Calibri" w:hAnsi="Calibri"/>
          <w:color w:val="1F1F1F"/>
          <w:sz w:val="20"/>
          <w:szCs w:val="20"/>
        </w:rPr>
        <w:t xml:space="preserve"> that it came from us, and we indemnify them for any loss arising from acting on an instruction that merely "appears to have been issued" by us. In the current business-email-compromise environment that is a live, uncapped exposure: a spoofed email redirecting a payment or changing banking details lands on us in full, even where a simple callback would have caught it.</w:t>
      </w:r>
    </w:p>
    <w:p>
      <w:pPr>
        <w:pBdr>
          <w:top w:val="single" w:color="A85A2E" w:sz="6" w:space="8"/>
          <w:left w:val="single" w:color="A85A2E" w:sz="6" w:space="8"/>
          <w:right w:val="single" w:color="A85A2E" w:sz="6" w:space="8"/>
        </w:pBdr>
        <w:shd w:fill="F5E9E0" w:color="auto" w:val="clear"/>
        <w:spacing w:after="40" w:before="120"/>
      </w:pPr>
      <w:r>
        <w:rPr>
          <w:rFonts w:ascii="Calibri" w:cs="Calibri" w:eastAsia="Calibri" w:hAnsi="Calibri"/>
          <w:b/>
          <w:bCs/>
          <w:color w:val="A85A2E"/>
          <w:sz w:val="16"/>
          <w:szCs w:val="16"/>
        </w:rPr>
        <w:t xml:space="preserve">ASK FOR</w:t>
      </w:r>
    </w:p>
    <w:p>
      <w:pPr>
        <w:pBdr>
          <w:left w:val="single" w:color="A85A2E" w:sz="6" w:space="8"/>
          <w:bottom w:val="single" w:color="A85A2E" w:sz="6" w:space="8"/>
          <w:right w:val="single" w:color="A85A2E" w:sz="6" w:space="8"/>
        </w:pBdr>
        <w:shd w:fill="F5E9E0" w:color="auto" w:val="clear"/>
        <w:spacing w:after="0" w:line="270"/>
      </w:pPr>
      <w:r>
        <w:rPr>
          <w:rFonts w:ascii="Calibri" w:cs="Calibri" w:eastAsia="Calibri" w:hAnsi="Calibri"/>
          <w:color w:val="1F1F1F"/>
          <w:sz w:val="20"/>
          <w:szCs w:val="20"/>
        </w:rPr>
        <w:t xml:space="preserve">Telephonic callback verification to a pre-agreed number for any payment instruction or change of banking details, and the Lender’s own negligence carved out of the indemnity.</w:t>
      </w:r>
    </w:p>
    <w:p>
      <w:pPr>
        <w:spacing w:after="140"/>
      </w:pPr>
      <w:r>
        <w:rPr>
          <w:rFonts w:ascii="Calibri" w:cs="Calibri" w:eastAsia="Calibri" w:hAnsi="Calibri"/>
          <w:color w:val="1F1F1F"/>
          <w:sz w:val="2"/>
          <w:szCs w:val="2"/>
        </w:rPr>
        <w:t xml:space="preserve"/>
      </w:r>
    </w:p>
    <w:p>
      <w:pPr>
        <w:pStyle w:val="Heading2"/>
        <w:spacing w:after="100" w:before="260"/>
      </w:pPr>
      <w:r>
        <w:rPr>
          <w:rFonts w:ascii="Calibri" w:cs="Calibri" w:eastAsia="Calibri" w:hAnsi="Calibri"/>
          <w:b/>
          <w:bCs/>
          <w:color w:val="1F1F1F"/>
          <w:sz w:val="23"/>
          <w:szCs w:val="23"/>
        </w:rPr>
        <w:t xml:space="preserve">4.5  Disputes about what we owe are decided by their accountant  (cl 18)</w:t>
      </w:r>
    </w:p>
    <w:p>
      <w:pPr>
        <w:spacing w:after="120" w:line="276"/>
      </w:pPr>
      <w:r>
        <w:rPr>
          <w:rFonts w:ascii="Calibri" w:cs="Calibri" w:eastAsia="Calibri" w:hAnsi="Calibri"/>
          <w:b/>
          <w:bCs/>
          <w:color w:val="8A5A18"/>
          <w:sz w:val="15"/>
          <w:szCs w:val="15"/>
        </w:rPr>
        <w:t xml:space="preserve">  [PRESS HARD]  </w:t>
      </w:r>
      <w:r>
        <w:rPr>
          <w:rFonts w:ascii="Calibri" w:cs="Calibri" w:eastAsia="Calibri" w:hAnsi="Calibri"/>
          <w:color w:val="1F1F1F"/>
          <w:sz w:val="20"/>
          <w:szCs w:val="20"/>
        </w:rPr>
        <w:t xml:space="preserve"> Any dispute about the Aggregate Debt, the interest or the rate goes to "the Lender’s accountant appointed to the review or audit of its financial statements", whose determination is "final and binding" and reviewable only for "manifest typographical and/or arithmetical error".</w:t>
      </w:r>
    </w:p>
    <w:p>
      <w:pPr>
        <w:spacing w:after="120" w:line="276"/>
      </w:pPr>
      <w:r>
        <w:rPr>
          <w:rFonts w:ascii="Calibri" w:cs="Calibri" w:eastAsia="Calibri" w:hAnsi="Calibri"/>
          <w:b/>
          <w:bCs/>
          <w:color w:val="1F1F1F"/>
          <w:sz w:val="20"/>
          <w:szCs w:val="20"/>
        </w:rPr>
        <w:t xml:space="preserve">That mechanic is probably void.</w:t>
      </w:r>
      <w:r>
        <w:rPr>
          <w:rFonts w:ascii="Calibri" w:cs="Calibri" w:eastAsia="Calibri" w:hAnsi="Calibri"/>
          <w:color w:val="1F1F1F"/>
          <w:sz w:val="20"/>
          <w:szCs w:val="20"/>
        </w:rPr>
        <w:t xml:space="preserve"> In </w:t>
      </w:r>
      <w:r>
        <w:rPr>
          <w:rFonts w:ascii="Calibri" w:cs="Calibri" w:eastAsia="Calibri" w:hAnsi="Calibri"/>
          <w:i/>
          <w:iCs/>
          <w:color w:val="1F1F1F"/>
          <w:sz w:val="20"/>
          <w:szCs w:val="20"/>
        </w:rPr>
        <w:t xml:space="preserve">Ex parte Minister of Justice: In re Nedbank v Abstein Distributors</w:t>
      </w:r>
      <w:r>
        <w:rPr>
          <w:rFonts w:ascii="Calibri" w:cs="Calibri" w:eastAsia="Calibri" w:hAnsi="Calibri"/>
          <w:color w:val="1F1F1F"/>
          <w:sz w:val="20"/>
          <w:szCs w:val="20"/>
        </w:rPr>
        <w:t xml:space="preserve"> 1995 (3) SA 1 (A) the Appellate Division held that a conclusive-proof clause of which the creditor is the author is per se contrary to public policy and void, because it precludes the debtor from challenging quantum. "The Lender’s accountant… final and binding" is the creditor’s own instrument producing a binding number.</w:t>
      </w:r>
    </w:p>
    <w:p>
      <w:pPr>
        <w:spacing w:after="120" w:line="276"/>
      </w:pPr>
      <w:r>
        <w:rPr>
          <w:rFonts w:ascii="Calibri" w:cs="Calibri" w:eastAsia="Calibri" w:hAnsi="Calibri"/>
          <w:color w:val="1F1F1F"/>
          <w:sz w:val="20"/>
          <w:szCs w:val="20"/>
        </w:rPr>
        <w:t xml:space="preserve">Distinguish cl 14.4: it says </w:t>
      </w:r>
      <w:r>
        <w:rPr>
          <w:rFonts w:ascii="Calibri" w:cs="Calibri" w:eastAsia="Calibri" w:hAnsi="Calibri"/>
          <w:b/>
          <w:bCs/>
          <w:i/>
          <w:iCs/>
          <w:color w:val="1F1F1F"/>
          <w:sz w:val="20"/>
          <w:szCs w:val="20"/>
        </w:rPr>
        <w:t xml:space="preserve">prima facie</w:t>
      </w:r>
      <w:r>
        <w:rPr>
          <w:rFonts w:ascii="Calibri" w:cs="Calibri" w:eastAsia="Calibri" w:hAnsi="Calibri"/>
          <w:color w:val="1F1F1F"/>
          <w:sz w:val="20"/>
          <w:szCs w:val="20"/>
        </w:rPr>
        <w:t xml:space="preserve"> proof, which leaves rebuttal open and on Abstein survives. That one we can live with.</w:t>
      </w:r>
    </w:p>
    <w:p>
      <w:pPr>
        <w:pBdr>
          <w:top w:val="single" w:color="A85A2E" w:sz="6" w:space="8"/>
          <w:left w:val="single" w:color="A85A2E" w:sz="6" w:space="8"/>
          <w:right w:val="single" w:color="A85A2E" w:sz="6" w:space="8"/>
        </w:pBdr>
        <w:shd w:fill="F5E9E0" w:color="auto" w:val="clear"/>
        <w:spacing w:after="40" w:before="120"/>
      </w:pPr>
      <w:r>
        <w:rPr>
          <w:rFonts w:ascii="Calibri" w:cs="Calibri" w:eastAsia="Calibri" w:hAnsi="Calibri"/>
          <w:b/>
          <w:bCs/>
          <w:color w:val="A85A2E"/>
          <w:sz w:val="16"/>
          <w:szCs w:val="16"/>
        </w:rPr>
        <w:t xml:space="preserve">ASK FOR</w:t>
      </w:r>
    </w:p>
    <w:p>
      <w:pPr>
        <w:pBdr>
          <w:left w:val="single" w:color="A85A2E" w:sz="6" w:space="8"/>
          <w:bottom w:val="single" w:color="A85A2E" w:sz="6" w:space="8"/>
          <w:right w:val="single" w:color="A85A2E" w:sz="6" w:space="8"/>
        </w:pBdr>
        <w:shd w:fill="F5E9E0" w:color="auto" w:val="clear"/>
        <w:spacing w:after="0" w:line="270"/>
      </w:pPr>
      <w:r>
        <w:rPr>
          <w:rFonts w:ascii="Calibri" w:cs="Calibri" w:eastAsia="Calibri" w:hAnsi="Calibri"/>
          <w:color w:val="1F1F1F"/>
          <w:sz w:val="20"/>
          <w:szCs w:val="20"/>
        </w:rPr>
        <w:t xml:space="preserve">An independent expert nominated by SAICA (or the chairman of the relevant professional body) if the parties cannot agree; costs shared; both parties entitled to written representations; manifest error generally, not only arithmetic.</w:t>
      </w:r>
    </w:p>
    <w:p>
      <w:pPr>
        <w:spacing w:after="140"/>
      </w:pPr>
      <w:r>
        <w:rPr>
          <w:rFonts w:ascii="Calibri" w:cs="Calibri" w:eastAsia="Calibri" w:hAnsi="Calibri"/>
          <w:color w:val="1F1F1F"/>
          <w:sz w:val="2"/>
          <w:szCs w:val="2"/>
        </w:rPr>
        <w:t xml:space="preserve"/>
      </w:r>
    </w:p>
    <w:p>
      <w:pPr>
        <w:pStyle w:val="Heading2"/>
        <w:spacing w:after="100" w:before="260"/>
      </w:pPr>
      <w:r>
        <w:rPr>
          <w:rFonts w:ascii="Calibri" w:cs="Calibri" w:eastAsia="Calibri" w:hAnsi="Calibri"/>
          <w:b/>
          <w:bCs/>
          <w:color w:val="1F1F1F"/>
          <w:sz w:val="23"/>
          <w:szCs w:val="23"/>
        </w:rPr>
        <w:t xml:space="preserve">4.6  Suspensive conditions run entirely their way  (cl 5)</w:t>
      </w:r>
    </w:p>
    <w:p>
      <w:pPr>
        <w:spacing w:after="120" w:line="276"/>
      </w:pPr>
      <w:r>
        <w:rPr>
          <w:rFonts w:ascii="Calibri" w:cs="Calibri" w:eastAsia="Calibri" w:hAnsi="Calibri"/>
          <w:b/>
          <w:bCs/>
          <w:color w:val="8A5A18"/>
          <w:sz w:val="15"/>
          <w:szCs w:val="15"/>
        </w:rPr>
        <w:t xml:space="preserve">  [PRESS HARD]  </w:t>
      </w:r>
    </w:p>
    <w:p>
      <w:pPr>
        <w:pStyle w:val="ListParagraph"/>
        <w:numPr>
          <w:ilvl w:val="0"/>
          <w:numId w:val="3"/>
        </w:numPr>
        <w:spacing w:after="70" w:line="270"/>
      </w:pPr>
      <w:r>
        <w:rPr>
          <w:rFonts w:ascii="Calibri" w:cs="Calibri" w:eastAsia="Calibri" w:hAnsi="Calibri"/>
          <w:b/>
          <w:bCs/>
          <w:color w:val="1F1F1F"/>
          <w:sz w:val="20"/>
          <w:szCs w:val="20"/>
        </w:rPr>
        <w:t xml:space="preserve">cl 5.1</w:t>
      </w:r>
      <w:r>
        <w:rPr>
          <w:rFonts w:ascii="Calibri" w:cs="Calibri" w:eastAsia="Calibri" w:hAnsi="Calibri"/>
          <w:color w:val="1F1F1F"/>
          <w:sz w:val="20"/>
          <w:szCs w:val="20"/>
        </w:rPr>
        <w:t xml:space="preserve"> — conditions must satisfy them within 14 days, "or such longer period as the Lender may, in its sole and absolute discretion, decide". We stay bound indefinitely while they decide.</w:t>
      </w:r>
    </w:p>
    <w:p>
      <w:pPr>
        <w:pStyle w:val="ListParagraph"/>
        <w:numPr>
          <w:ilvl w:val="0"/>
          <w:numId w:val="3"/>
        </w:numPr>
        <w:spacing w:after="70" w:line="270"/>
      </w:pPr>
      <w:r>
        <w:rPr>
          <w:rFonts w:ascii="Calibri" w:cs="Calibri" w:eastAsia="Calibri" w:hAnsi="Calibri"/>
          <w:b/>
          <w:bCs/>
          <w:color w:val="1F1F1F"/>
          <w:sz w:val="20"/>
          <w:szCs w:val="20"/>
        </w:rPr>
        <w:t xml:space="preserve">cl 5.4</w:t>
      </w:r>
      <w:r>
        <w:rPr>
          <w:rFonts w:ascii="Calibri" w:cs="Calibri" w:eastAsia="Calibri" w:hAnsi="Calibri"/>
          <w:color w:val="1F1F1F"/>
          <w:sz w:val="20"/>
          <w:szCs w:val="20"/>
        </w:rPr>
        <w:t xml:space="preserve"> — they may waive any condition "with or without notice" to us. We may not know what agreement we are in.</w:t>
      </w:r>
    </w:p>
    <w:p>
      <w:pPr>
        <w:pStyle w:val="ListParagraph"/>
        <w:numPr>
          <w:ilvl w:val="0"/>
          <w:numId w:val="3"/>
        </w:numPr>
        <w:spacing w:after="70" w:line="270"/>
      </w:pPr>
      <w:r>
        <w:rPr>
          <w:rFonts w:ascii="Calibri" w:cs="Calibri" w:eastAsia="Calibri" w:hAnsi="Calibri"/>
          <w:b/>
          <w:bCs/>
          <w:color w:val="1F1F1F"/>
          <w:sz w:val="20"/>
          <w:szCs w:val="20"/>
        </w:rPr>
        <w:t xml:space="preserve">cl 5.3</w:t>
      </w:r>
      <w:r>
        <w:rPr>
          <w:rFonts w:ascii="Calibri" w:cs="Calibri" w:eastAsia="Calibri" w:hAnsi="Calibri"/>
          <w:color w:val="1F1F1F"/>
          <w:sz w:val="20"/>
          <w:szCs w:val="20"/>
        </w:rPr>
        <w:t xml:space="preserve"> — our failure is "an Event of Default alternatively this Agreement shall not come into force". These are mutually exclusive and they pick. You cannot default on an agreement that never came into force.</w:t>
      </w:r>
    </w:p>
    <w:p>
      <w:pPr>
        <w:pBdr>
          <w:top w:val="single" w:color="A85A2E" w:sz="6" w:space="8"/>
          <w:left w:val="single" w:color="A85A2E" w:sz="6" w:space="8"/>
          <w:right w:val="single" w:color="A85A2E" w:sz="6" w:space="8"/>
        </w:pBdr>
        <w:shd w:fill="F5E9E0" w:color="auto" w:val="clear"/>
        <w:spacing w:after="40" w:before="120"/>
      </w:pPr>
      <w:r>
        <w:rPr>
          <w:rFonts w:ascii="Calibri" w:cs="Calibri" w:eastAsia="Calibri" w:hAnsi="Calibri"/>
          <w:b/>
          <w:bCs/>
          <w:color w:val="A85A2E"/>
          <w:sz w:val="16"/>
          <w:szCs w:val="16"/>
        </w:rPr>
        <w:t xml:space="preserve">ASK FOR</w:t>
      </w:r>
    </w:p>
    <w:p>
      <w:pPr>
        <w:pBdr>
          <w:left w:val="single" w:color="A85A2E" w:sz="6" w:space="8"/>
          <w:bottom w:val="single" w:color="A85A2E" w:sz="6" w:space="8"/>
          <w:right w:val="single" w:color="A85A2E" w:sz="6" w:space="8"/>
        </w:pBdr>
        <w:shd w:fill="F5E9E0" w:color="auto" w:val="clear"/>
        <w:spacing w:after="0" w:line="270"/>
      </w:pPr>
      <w:r>
        <w:rPr>
          <w:rFonts w:ascii="Calibri" w:cs="Calibri" w:eastAsia="Calibri" w:hAnsi="Calibri"/>
          <w:color w:val="1F1F1F"/>
          <w:sz w:val="20"/>
          <w:szCs w:val="20"/>
        </w:rPr>
        <w:t xml:space="preserve">A hard longstop date; either party free to walk away if unfulfilled; waiver on written notice; and "Event of Default" deleted from cl 5.3 — a failed suspensive condition should make the agreement lapse, nothing more.</w:t>
      </w:r>
    </w:p>
    <w:p>
      <w:pPr>
        <w:spacing w:after="140"/>
      </w:pPr>
      <w:r>
        <w:rPr>
          <w:rFonts w:ascii="Calibri" w:cs="Calibri" w:eastAsia="Calibri" w:hAnsi="Calibri"/>
          <w:color w:val="1F1F1F"/>
          <w:sz w:val="2"/>
          <w:szCs w:val="2"/>
        </w:rPr>
        <w:t xml:space="preserve"/>
      </w:r>
    </w:p>
    <w:p>
      <w:pPr>
        <w:pStyle w:val="Heading2"/>
        <w:spacing w:after="100" w:before="260"/>
      </w:pPr>
      <w:r>
        <w:rPr>
          <w:rFonts w:ascii="Calibri" w:cs="Calibri" w:eastAsia="Calibri" w:hAnsi="Calibri"/>
          <w:b/>
          <w:bCs/>
          <w:color w:val="1F1F1F"/>
          <w:sz w:val="23"/>
          <w:szCs w:val="23"/>
        </w:rPr>
        <w:t xml:space="preserve">4.7  Attorney-and-own-client costs "irrespective of whether legal action results"  (cl 14.3)</w:t>
      </w:r>
    </w:p>
    <w:p>
      <w:pPr>
        <w:spacing w:after="120" w:line="276"/>
      </w:pPr>
      <w:r>
        <w:rPr>
          <w:rFonts w:ascii="Calibri" w:cs="Calibri" w:eastAsia="Calibri" w:hAnsi="Calibri"/>
          <w:b/>
          <w:bCs/>
          <w:color w:val="8A5A18"/>
          <w:sz w:val="15"/>
          <w:szCs w:val="15"/>
        </w:rPr>
        <w:t xml:space="preserve">  [PRESS HARD]  </w:t>
      </w:r>
      <w:r>
        <w:rPr>
          <w:rFonts w:ascii="Calibri" w:cs="Calibri" w:eastAsia="Calibri" w:hAnsi="Calibri"/>
          <w:color w:val="1F1F1F"/>
          <w:sz w:val="20"/>
          <w:szCs w:val="20"/>
        </w:rPr>
        <w:t xml:space="preserve"> Costs on the highest scale, including pre-litigation costs, whether or not anything is ever litigated. The clause ignores a line the law draws:</w:t>
      </w:r>
    </w:p>
    <w:p>
      <w:pPr>
        <w:pStyle w:val="ListParagraph"/>
        <w:numPr>
          <w:ilvl w:val="0"/>
          <w:numId w:val="3"/>
        </w:numPr>
        <w:spacing w:after="70" w:line="270"/>
      </w:pPr>
      <w:r>
        <w:rPr>
          <w:rFonts w:ascii="Calibri" w:cs="Calibri" w:eastAsia="Calibri" w:hAnsi="Calibri"/>
          <w:b/>
          <w:bCs/>
          <w:color w:val="1F1F1F"/>
          <w:sz w:val="20"/>
          <w:szCs w:val="20"/>
        </w:rPr>
        <w:t xml:space="preserve">Pre-litigation recovery costs are "collection costs"</w:t>
      </w:r>
      <w:r>
        <w:rPr>
          <w:rFonts w:ascii="Calibri" w:cs="Calibri" w:eastAsia="Calibri" w:hAnsi="Calibri"/>
          <w:color w:val="1F1F1F"/>
          <w:sz w:val="20"/>
          <w:szCs w:val="20"/>
        </w:rPr>
        <w:t xml:space="preserve"> under s101(1)(g), capped at the prescribed maximum and counted toward the s103(5) in duplum ceiling while we are in default. A pre-agreed consent to enforcement costs is separately caught by s90(2)(k).</w:t>
      </w:r>
    </w:p>
    <w:p>
      <w:pPr>
        <w:pStyle w:val="ListParagraph"/>
        <w:numPr>
          <w:ilvl w:val="0"/>
          <w:numId w:val="3"/>
        </w:numPr>
        <w:spacing w:after="70" w:line="270"/>
      </w:pPr>
      <w:r>
        <w:rPr>
          <w:rFonts w:ascii="Calibri" w:cs="Calibri" w:eastAsia="Calibri" w:hAnsi="Calibri"/>
          <w:b/>
          <w:bCs/>
          <w:color w:val="1F1F1F"/>
          <w:sz w:val="20"/>
          <w:szCs w:val="20"/>
        </w:rPr>
        <w:t xml:space="preserve">Litigation costs sit outside that machinery</w:t>
      </w:r>
      <w:r>
        <w:rPr>
          <w:rFonts w:ascii="Calibri" w:cs="Calibri" w:eastAsia="Calibri" w:hAnsi="Calibri"/>
          <w:color w:val="1F1F1F"/>
          <w:sz w:val="20"/>
          <w:szCs w:val="20"/>
        </w:rPr>
        <w:t xml:space="preserve"> after Bayport Securitisation v University of Stellenbosch Law Clinic [2021] ZASCA 156 (leave to appeal refused by the Constitutional Court), which held collection costs do not include litigation fees. But an attorney-and-own-client stipulation still does not bind a court — costs remain in the court’s discretion, subject to taxation.</w:t>
      </w:r>
    </w:p>
    <w:p>
      <w:pPr>
        <w:pBdr>
          <w:top w:val="single" w:color="A85A2E" w:sz="6" w:space="8"/>
          <w:left w:val="single" w:color="A85A2E" w:sz="6" w:space="8"/>
          <w:right w:val="single" w:color="A85A2E" w:sz="6" w:space="8"/>
        </w:pBdr>
        <w:shd w:fill="F5E9E0" w:color="auto" w:val="clear"/>
        <w:spacing w:after="40" w:before="120"/>
      </w:pPr>
      <w:r>
        <w:rPr>
          <w:rFonts w:ascii="Calibri" w:cs="Calibri" w:eastAsia="Calibri" w:hAnsi="Calibri"/>
          <w:b/>
          <w:bCs/>
          <w:color w:val="A85A2E"/>
          <w:sz w:val="16"/>
          <w:szCs w:val="16"/>
        </w:rPr>
        <w:t xml:space="preserve">ASK FOR</w:t>
      </w:r>
    </w:p>
    <w:p>
      <w:pPr>
        <w:pBdr>
          <w:left w:val="single" w:color="A85A2E" w:sz="6" w:space="8"/>
          <w:bottom w:val="single" w:color="A85A2E" w:sz="6" w:space="8"/>
          <w:right w:val="single" w:color="A85A2E" w:sz="6" w:space="8"/>
        </w:pBdr>
        <w:shd w:fill="F5E9E0" w:color="auto" w:val="clear"/>
        <w:spacing w:after="0" w:line="270"/>
      </w:pPr>
      <w:r>
        <w:rPr>
          <w:rFonts w:ascii="Calibri" w:cs="Calibri" w:eastAsia="Calibri" w:hAnsi="Calibri"/>
          <w:color w:val="1F1F1F"/>
          <w:sz w:val="20"/>
          <w:szCs w:val="20"/>
        </w:rPr>
        <w:t xml:space="preserve">Split the clause. Pre-litigation costs "limited to the maximum permitted by ss101 and 103 of the NCA"; litigation costs "such costs as a court may award, on taxation"; and delete "irrespective of whether or not legal action results".</w:t>
      </w:r>
    </w:p>
    <w:p>
      <w:pPr>
        <w:spacing w:after="140"/>
      </w:pPr>
      <w:r>
        <w:rPr>
          <w:rFonts w:ascii="Calibri" w:cs="Calibri" w:eastAsia="Calibri" w:hAnsi="Calibri"/>
          <w:color w:val="1F1F1F"/>
          <w:sz w:val="2"/>
          <w:szCs w:val="2"/>
        </w:rPr>
        <w:t xml:space="preserve"/>
      </w:r>
    </w:p>
    <w:p>
      <w:pPr>
        <w:pStyle w:val="Heading2"/>
        <w:spacing w:after="100" w:before="260"/>
      </w:pPr>
      <w:r>
        <w:rPr>
          <w:rFonts w:ascii="Calibri" w:cs="Calibri" w:eastAsia="Calibri" w:hAnsi="Calibri"/>
          <w:b/>
          <w:bCs/>
          <w:color w:val="1F1F1F"/>
          <w:sz w:val="23"/>
          <w:szCs w:val="23"/>
        </w:rPr>
        <w:t xml:space="preserve">4.8  Surety benefits renounced in a loan where we are the principal debtor  (cl 8.4)</w:t>
      </w:r>
    </w:p>
    <w:p>
      <w:pPr>
        <w:spacing w:after="120" w:line="276"/>
      </w:pPr>
      <w:r>
        <w:rPr>
          <w:rFonts w:ascii="Calibri" w:cs="Calibri" w:eastAsia="Calibri" w:hAnsi="Calibri"/>
          <w:b/>
          <w:bCs/>
          <w:color w:val="8A5A18"/>
          <w:sz w:val="15"/>
          <w:szCs w:val="15"/>
        </w:rPr>
        <w:t xml:space="preserve">  [PRESS HARD]  </w:t>
      </w:r>
      <w:r>
        <w:rPr>
          <w:rFonts w:ascii="Calibri" w:cs="Calibri" w:eastAsia="Calibri" w:hAnsi="Calibri"/>
          <w:color w:val="1F1F1F"/>
          <w:sz w:val="20"/>
          <w:szCs w:val="20"/>
        </w:rPr>
        <w:t xml:space="preserve"> We renounce excussion, division and cession of actions — all surety defences. Tyron is the principal debtor, not a surety. Either this is copy-paste from a suretyship precedent, or it is laying groundwork to treat him as surety for someone else’s obligation later. Delete it; if a suretyship is genuinely intended it must be a separate, disclosed document. Note that under NCA s8(5) a suretyship securing a credit agreement is itself a credit agreement.</w:t>
      </w:r>
    </w:p>
    <w:p>
      <w:pPr>
        <w:pStyle w:val="Heading2"/>
        <w:spacing w:after="100" w:before="260"/>
      </w:pPr>
      <w:r>
        <w:rPr>
          <w:rFonts w:ascii="Calibri" w:cs="Calibri" w:eastAsia="Calibri" w:hAnsi="Calibri"/>
          <w:b/>
          <w:bCs/>
          <w:color w:val="1F1F1F"/>
          <w:sz w:val="23"/>
          <w:szCs w:val="23"/>
        </w:rPr>
        <w:t xml:space="preserve">4.9  They can sell our debt to anyone; we can assign nothing  (Loan cl 21.5, Pledge cl 12.5)</w:t>
      </w:r>
    </w:p>
    <w:p>
      <w:pPr>
        <w:spacing w:after="120" w:line="276"/>
      </w:pPr>
      <w:r>
        <w:rPr>
          <w:rFonts w:ascii="Calibri" w:cs="Calibri" w:eastAsia="Calibri" w:hAnsi="Calibri"/>
          <w:b/>
          <w:bCs/>
          <w:color w:val="8A5A18"/>
          <w:sz w:val="15"/>
          <w:szCs w:val="15"/>
        </w:rPr>
        <w:t xml:space="preserve">  [PRESS HARD]  </w:t>
      </w:r>
      <w:r>
        <w:rPr>
          <w:rFonts w:ascii="Calibri" w:cs="Calibri" w:eastAsia="Calibri" w:hAnsi="Calibri"/>
          <w:color w:val="1F1F1F"/>
          <w:sz w:val="20"/>
          <w:szCs w:val="20"/>
        </w:rPr>
        <w:t xml:space="preserve"> Loan cl 21.5 restricts our cession. Nothing restricts theirs — and Pledge cl 12.5 expressly provides that if Plane Tree cedes the loan, the entire security package follows "without need for notice to or prior consent of the Borrower". We could find this facility, and every pledge over Tyron’s assets, in the hands of a debt-collection house or a competitor without ever being told. Ask for written notice at minimum; ideally consent not unreasonably withheld, and a bar on cession to a party that is not a registered credit provider.</w:t>
      </w:r>
    </w:p>
    <w:p>
      <w:pPr>
        <w:pStyle w:val="Heading2"/>
        <w:spacing w:after="100" w:before="260"/>
      </w:pPr>
      <w:r>
        <w:rPr>
          <w:rFonts w:ascii="Calibri" w:cs="Calibri" w:eastAsia="Calibri" w:hAnsi="Calibri"/>
          <w:b/>
          <w:bCs/>
          <w:color w:val="1F1F1F"/>
          <w:sz w:val="23"/>
          <w:szCs w:val="23"/>
        </w:rPr>
        <w:t xml:space="preserve">4.10  Three smaller ones worth raising</w:t>
      </w:r>
    </w:p>
    <w:p>
      <w:pPr>
        <w:spacing w:after="120" w:line="276"/>
      </w:pPr>
      <w:r>
        <w:rPr>
          <w:rFonts w:ascii="Calibri" w:cs="Calibri" w:eastAsia="Calibri" w:hAnsi="Calibri"/>
          <w:b/>
          <w:bCs/>
          <w:color w:val="4F6138"/>
          <w:sz w:val="15"/>
          <w:szCs w:val="15"/>
        </w:rPr>
        <w:t xml:space="preserve">  [RAISE &amp; TRADE]  </w:t>
      </w:r>
    </w:p>
    <w:p>
      <w:pPr>
        <w:pStyle w:val="ListParagraph"/>
        <w:numPr>
          <w:ilvl w:val="0"/>
          <w:numId w:val="3"/>
        </w:numPr>
        <w:spacing w:after="70" w:line="270"/>
      </w:pPr>
      <w:r>
        <w:rPr>
          <w:rFonts w:ascii="Calibri" w:cs="Calibri" w:eastAsia="Calibri" w:hAnsi="Calibri"/>
          <w:b/>
          <w:bCs/>
          <w:color w:val="1F1F1F"/>
          <w:sz w:val="20"/>
          <w:szCs w:val="20"/>
        </w:rPr>
        <w:t xml:space="preserve">s129 default notices by registered post (cl 13.3). </w:t>
      </w:r>
      <w:r>
        <w:rPr>
          <w:rFonts w:ascii="Calibri" w:cs="Calibri" w:eastAsia="Calibri" w:hAnsi="Calibri"/>
          <w:color w:val="1F1F1F"/>
          <w:sz w:val="20"/>
          <w:szCs w:val="20"/>
        </w:rPr>
        <w:t xml:space="preserve">Registered post to an address nobody attends is still deemed delivery, and it starts the 10-business-day clock before they may litigate. Ask for email and registered post, running from the later of the two.</w:t>
      </w:r>
    </w:p>
    <w:p>
      <w:pPr>
        <w:pStyle w:val="ListParagraph"/>
        <w:numPr>
          <w:ilvl w:val="0"/>
          <w:numId w:val="3"/>
        </w:numPr>
        <w:spacing w:after="70" w:line="270"/>
      </w:pPr>
      <w:r>
        <w:rPr>
          <w:rFonts w:ascii="Calibri" w:cs="Calibri" w:eastAsia="Calibri" w:hAnsi="Calibri"/>
          <w:b/>
          <w:bCs/>
          <w:color w:val="1F1F1F"/>
          <w:sz w:val="20"/>
          <w:szCs w:val="20"/>
        </w:rPr>
        <w:t xml:space="preserve">Shortfall risk with no control over the sale (cl 1.15). </w:t>
      </w:r>
      <w:r>
        <w:rPr>
          <w:rFonts w:ascii="Calibri" w:cs="Calibri" w:eastAsia="Calibri" w:hAnsi="Calibri"/>
          <w:color w:val="1F1F1F"/>
          <w:sz w:val="20"/>
          <w:szCs w:val="20"/>
        </w:rPr>
        <w:t xml:space="preserve">They may sell by "any other commercially reasonable method determined by the Lender", with no obligation to obtain a valuation or set a reserve, and we carry the shortfall. Ask for an independent valuation before any sale, a reserve at not less than 70% of it, and 10 business days’ notice so we can find a buyer ourselves.</w:t>
      </w:r>
    </w:p>
    <w:p>
      <w:pPr>
        <w:pStyle w:val="ListParagraph"/>
        <w:numPr>
          <w:ilvl w:val="0"/>
          <w:numId w:val="3"/>
        </w:numPr>
        <w:spacing w:after="70" w:line="270"/>
      </w:pPr>
      <w:r>
        <w:rPr>
          <w:rFonts w:ascii="Calibri" w:cs="Calibri" w:eastAsia="Calibri" w:hAnsi="Calibri"/>
          <w:b/>
          <w:bCs/>
          <w:color w:val="1F1F1F"/>
          <w:sz w:val="20"/>
          <w:szCs w:val="20"/>
        </w:rPr>
        <w:t xml:space="preserve">"Underlying Transaction" is undefined in substance. </w:t>
      </w:r>
      <w:r>
        <w:rPr>
          <w:rFonts w:ascii="Calibri" w:cs="Calibri" w:eastAsia="Calibri" w:hAnsi="Calibri"/>
          <w:color w:val="1F1F1F"/>
          <w:sz w:val="20"/>
          <w:szCs w:val="20"/>
        </w:rPr>
        <w:t xml:space="preserve">Defined only as "the investments and underlying projects relating to copper". Yet cl 6.3.4 requires proceeds be applied solely to it, cl 14.1.3 makes any breach a default, and the Pledge uses the same phrase to sweep in every book debt "in connection with any Underlying Transaction". Schedule the specific transaction and define the term by reference to that schedule.</w:t>
      </w:r>
    </w:p>
    <w:p>
      <w:pPr>
        <w:pStyle w:val="Heading2"/>
        <w:spacing w:after="100" w:before="260"/>
      </w:pPr>
      <w:r>
        <w:rPr>
          <w:rFonts w:ascii="Calibri" w:cs="Calibri" w:eastAsia="Calibri" w:hAnsi="Calibri"/>
          <w:b/>
          <w:bCs/>
          <w:color w:val="1F1F1F"/>
          <w:sz w:val="23"/>
          <w:szCs w:val="23"/>
        </w:rPr>
        <w:t xml:space="preserve">4.11  Missing NCA prerequisites — their problem, our leverage</w:t>
      </w:r>
    </w:p>
    <w:p>
      <w:pPr>
        <w:spacing w:after="120" w:line="276"/>
      </w:pPr>
      <w:r>
        <w:rPr>
          <w:rFonts w:ascii="Calibri" w:cs="Calibri" w:eastAsia="Calibri" w:hAnsi="Calibri"/>
          <w:color w:val="1F1F1F"/>
          <w:sz w:val="20"/>
          <w:szCs w:val="20"/>
        </w:rPr>
        <w:t xml:space="preserve">Their comment 7 concedes the pre-agreement statement and quotation required by NCA ss92–93 may not have been given, and notes: "A credit agreement cannot be entered into without it." Their comment 31 concedes the s81 affordability assessment has not been done and warns "a failure to do so may render the credit agreement void and/or reckless credit."</w:t>
      </w:r>
    </w:p>
    <w:p>
      <w:pPr>
        <w:spacing w:after="120" w:line="276"/>
      </w:pPr>
      <w:r>
        <w:rPr>
          <w:rFonts w:ascii="Calibri" w:cs="Calibri" w:eastAsia="Calibri" w:hAnsi="Calibri"/>
          <w:b/>
          <w:bCs/>
          <w:color w:val="1F1F1F"/>
          <w:sz w:val="20"/>
          <w:szCs w:val="20"/>
        </w:rPr>
        <w:t xml:space="preserve">Calibrate the s92 point honestly. </w:t>
      </w:r>
      <w:r>
        <w:rPr>
          <w:rFonts w:ascii="Calibri" w:cs="Calibri" w:eastAsia="Calibri" w:hAnsi="Calibri"/>
          <w:color w:val="1F1F1F"/>
          <w:sz w:val="20"/>
          <w:szCs w:val="20"/>
        </w:rPr>
        <w:t xml:space="preserve">A s92 breach is not among the grounds in NCA s89 that make a credit agreement unlawful. So it is prohibited conduct — NCR complaint, Tribunal referral, compliance notice, s151 fine — rather than something that voids the agreement of itself. Real leverage in negotiation and a real problem for Plane Tree’s compliance record; not a get-out.</w:t>
      </w:r>
    </w:p>
    <w:p>
      <w:pPr>
        <w:spacing w:after="120" w:line="276"/>
      </w:pPr>
      <w:r>
        <w:rPr>
          <w:rFonts w:ascii="Calibri" w:cs="Calibri" w:eastAsia="Calibri" w:hAnsi="Calibri"/>
          <w:b/>
          <w:bCs/>
          <w:color w:val="1F1F1F"/>
          <w:sz w:val="20"/>
          <w:szCs w:val="20"/>
        </w:rPr>
        <w:t xml:space="preserve">The reckless-credit point is the one with teeth. </w:t>
      </w:r>
      <w:r>
        <w:rPr>
          <w:rFonts w:ascii="Calibri" w:cs="Calibri" w:eastAsia="Calibri" w:hAnsi="Calibri"/>
          <w:color w:val="1F1F1F"/>
          <w:sz w:val="20"/>
          <w:szCs w:val="20"/>
        </w:rPr>
        <w:t xml:space="preserve">Under s80(1)(a) an agreement is reckless if the credit provider failed to conduct the s81(2) assessment, "irrespective of what the outcome of such an assessment might have concluded". A warranty from us cannot cure their omission — and s90(2)(b) makes void any provision purporting to waive or deprive a consumer of a right under the Act. Their s81(4) defence requires that requests for information were actually made in a genuine assessment; a credit provider that conducted no assessment has none to point to. Relief under s83(2)–(3) runs to setting aside our rights and obligations or suspending the agreement — and during a suspension no interest, fee or charge may be charged at all.</w:t>
      </w:r>
    </w:p>
    <w:p>
      <w:r>
        <w:br w:type="page"/>
      </w:r>
    </w:p>
    <w:p>
      <w:pPr>
        <w:pStyle w:val="Heading1"/>
        <w:pBdr>
          <w:bottom w:val="single" w:color="A85A2E" w:sz="6" w:space="6"/>
        </w:pBdr>
        <w:spacing w:after="160" w:before="400"/>
      </w:pPr>
      <w:r>
        <w:rPr>
          <w:rFonts w:ascii="Calibri" w:cs="Calibri" w:eastAsia="Calibri" w:hAnsi="Calibri"/>
          <w:b/>
          <w:bCs/>
          <w:color w:val="1F1F1F"/>
          <w:sz w:val="30"/>
          <w:szCs w:val="30"/>
        </w:rPr>
        <w:t xml:space="preserve">5.  Pledge and Cession of Claims — provisions that harm us</w:t>
      </w:r>
    </w:p>
    <w:p>
      <w:pPr>
        <w:pStyle w:val="Heading2"/>
        <w:spacing w:after="100" w:before="260"/>
      </w:pPr>
      <w:r>
        <w:rPr>
          <w:rFonts w:ascii="Calibri" w:cs="Calibri" w:eastAsia="Calibri" w:hAnsi="Calibri"/>
          <w:b/>
          <w:bCs/>
          <w:color w:val="1F1F1F"/>
          <w:sz w:val="23"/>
          <w:szCs w:val="23"/>
        </w:rPr>
        <w:t xml:space="preserve">5.1  The out-and-out cession of the Sale of Shares proceeds  (cl 4.2, 4.4, Annexure A)</w:t>
      </w:r>
    </w:p>
    <w:p>
      <w:pPr>
        <w:spacing w:after="120" w:line="276"/>
      </w:pPr>
      <w:r>
        <w:rPr>
          <w:rFonts w:ascii="Calibri" w:cs="Calibri" w:eastAsia="Calibri" w:hAnsi="Calibri"/>
          <w:b/>
          <w:bCs/>
          <w:color w:val="A32E2E"/>
          <w:sz w:val="15"/>
          <w:szCs w:val="15"/>
        </w:rPr>
        <w:t xml:space="preserve">  [MUST CHANGE]  </w:t>
      </w:r>
      <w:r>
        <w:rPr>
          <w:rFonts w:ascii="Calibri" w:cs="Calibri" w:eastAsia="Calibri" w:hAnsi="Calibri"/>
          <w:color w:val="1F1F1F"/>
          <w:sz w:val="20"/>
          <w:szCs w:val="20"/>
        </w:rPr>
        <w:t xml:space="preserve"> This is the most damaging clause in the package.</w:t>
      </w:r>
    </w:p>
    <w:p>
      <w:pPr>
        <w:spacing w:after="120" w:line="276"/>
      </w:pPr>
      <w:r>
        <w:rPr>
          <w:rFonts w:ascii="Calibri" w:cs="Calibri" w:eastAsia="Calibri" w:hAnsi="Calibri"/>
          <w:color w:val="1F1F1F"/>
          <w:sz w:val="20"/>
          <w:szCs w:val="20"/>
        </w:rPr>
        <w:t xml:space="preserve">Everything else in the document is ceded </w:t>
      </w:r>
      <w:r>
        <w:rPr>
          <w:rFonts w:ascii="Calibri" w:cs="Calibri" w:eastAsia="Calibri" w:hAnsi="Calibri"/>
          <w:i/>
          <w:iCs/>
          <w:color w:val="1F1F1F"/>
          <w:sz w:val="20"/>
          <w:szCs w:val="20"/>
        </w:rPr>
        <w:t xml:space="preserve">in securitatem debiti</w:t>
      </w:r>
      <w:r>
        <w:rPr>
          <w:rFonts w:ascii="Calibri" w:cs="Calibri" w:eastAsia="Calibri" w:hAnsi="Calibri"/>
          <w:color w:val="1F1F1F"/>
          <w:sz w:val="20"/>
          <w:szCs w:val="20"/>
        </w:rPr>
        <w:t xml:space="preserve"> — as security, ownership stays with Tyron. But cl 4.2 alone cedes the De Jongh / Nel share-sale proceeds </w:t>
      </w:r>
      <w:r>
        <w:rPr>
          <w:rFonts w:ascii="Calibri" w:cs="Calibri" w:eastAsia="Calibri" w:hAnsi="Calibri"/>
          <w:b/>
          <w:bCs/>
          <w:color w:val="1F1F1F"/>
          <w:sz w:val="20"/>
          <w:szCs w:val="20"/>
        </w:rPr>
        <w:t xml:space="preserve">"out and out on an outright basis"</w:t>
      </w:r>
      <w:r>
        <w:rPr>
          <w:rFonts w:ascii="Calibri" w:cs="Calibri" w:eastAsia="Calibri" w:hAnsi="Calibri"/>
          <w:color w:val="1F1F1F"/>
          <w:sz w:val="20"/>
          <w:szCs w:val="20"/>
        </w:rPr>
        <w:t xml:space="preserve"> — an absolute transfer of the claim, effective from signature date, not on default.</w:t>
      </w:r>
    </w:p>
    <w:p>
      <w:pPr>
        <w:pStyle w:val="ListParagraph"/>
        <w:numPr>
          <w:ilvl w:val="0"/>
          <w:numId w:val="3"/>
        </w:numPr>
        <w:spacing w:after="70" w:line="270"/>
      </w:pPr>
      <w:r>
        <w:rPr>
          <w:rFonts w:ascii="Calibri" w:cs="Calibri" w:eastAsia="Calibri" w:hAnsi="Calibri"/>
          <w:color w:val="1F1F1F"/>
          <w:sz w:val="20"/>
          <w:szCs w:val="20"/>
        </w:rPr>
        <w:t xml:space="preserve">Those proceeds stop being Tyron’s asset the moment he signs — before a cent is drawn down.</w:t>
      </w:r>
    </w:p>
    <w:p>
      <w:pPr>
        <w:pStyle w:val="ListParagraph"/>
        <w:numPr>
          <w:ilvl w:val="0"/>
          <w:numId w:val="3"/>
        </w:numPr>
        <w:spacing w:after="70" w:line="270"/>
      </w:pPr>
      <w:r>
        <w:rPr>
          <w:rFonts w:ascii="Calibri" w:cs="Calibri" w:eastAsia="Calibri" w:hAnsi="Calibri"/>
          <w:b/>
          <w:bCs/>
          <w:color w:val="1F1F1F"/>
          <w:sz w:val="20"/>
          <w:szCs w:val="20"/>
        </w:rPr>
        <w:t xml:space="preserve">There is no re-cession clause, and that matters more than it looks. </w:t>
      </w:r>
      <w:r>
        <w:rPr>
          <w:rFonts w:ascii="Calibri" w:cs="Calibri" w:eastAsia="Calibri" w:hAnsi="Calibri"/>
          <w:color w:val="1F1F1F"/>
          <w:sz w:val="20"/>
          <w:szCs w:val="20"/>
        </w:rPr>
        <w:t xml:space="preserve">SA law recognises two constructions (</w:t>
      </w:r>
      <w:r>
        <w:rPr>
          <w:rFonts w:ascii="Calibri" w:cs="Calibri" w:eastAsia="Calibri" w:hAnsi="Calibri"/>
          <w:i/>
          <w:iCs/>
          <w:color w:val="1F1F1F"/>
          <w:sz w:val="20"/>
          <w:szCs w:val="20"/>
        </w:rPr>
        <w:t xml:space="preserve">Grobler v Oosthuizen</w:t>
      </w:r>
      <w:r>
        <w:rPr>
          <w:rFonts w:ascii="Calibri" w:cs="Calibri" w:eastAsia="Calibri" w:hAnsi="Calibri"/>
          <w:color w:val="1F1F1F"/>
          <w:sz w:val="20"/>
          <w:szCs w:val="20"/>
        </w:rPr>
        <w:t xml:space="preserve"> [2009] ZASCA 51). Under the pledge construction the cedent keeps the reversionary interest and the claim reverts automatically on settlement. Under the out-and-out construction the cessionary takes full title and the cedent has only a personal contractual claim to have the right re-ceded. cl 4.9 ("until the Lender confirms in writing") is enough for the first and useless for the second. Substance can override a label (</w:t>
      </w:r>
      <w:r>
        <w:rPr>
          <w:rFonts w:ascii="Calibri" w:cs="Calibri" w:eastAsia="Calibri" w:hAnsi="Calibri"/>
          <w:i/>
          <w:iCs/>
          <w:color w:val="1F1F1F"/>
          <w:sz w:val="20"/>
          <w:szCs w:val="20"/>
        </w:rPr>
        <w:t xml:space="preserve">National Bank v Cohen’s Trustee</w:t>
      </w:r>
      <w:r>
        <w:rPr>
          <w:rFonts w:ascii="Calibri" w:cs="Calibri" w:eastAsia="Calibri" w:hAnsi="Calibri"/>
          <w:color w:val="1F1F1F"/>
          <w:sz w:val="20"/>
          <w:szCs w:val="20"/>
        </w:rPr>
        <w:t xml:space="preserve"> 1911 AD 235), but "out and out on an outright basis" is about as clear a contrary intention as can be drafted, so we cannot count on re-characterisation.</w:t>
      </w:r>
    </w:p>
    <w:p>
      <w:pPr>
        <w:pStyle w:val="ListParagraph"/>
        <w:numPr>
          <w:ilvl w:val="0"/>
          <w:numId w:val="3"/>
        </w:numPr>
        <w:spacing w:after="70" w:line="270"/>
      </w:pPr>
      <w:r>
        <w:rPr>
          <w:rFonts w:ascii="Calibri" w:cs="Calibri" w:eastAsia="Calibri" w:hAnsi="Calibri"/>
          <w:b/>
          <w:bCs/>
          <w:color w:val="A32E2E"/>
          <w:sz w:val="20"/>
          <w:szCs w:val="20"/>
        </w:rPr>
        <w:t xml:space="preserve">The risk nobody has flagged: if Plane Tree becomes insolvent, we lose the lot. </w:t>
      </w:r>
      <w:r>
        <w:rPr>
          <w:rFonts w:ascii="Calibri" w:cs="Calibri" w:eastAsia="Calibri" w:hAnsi="Calibri"/>
          <w:color w:val="1F1F1F"/>
          <w:sz w:val="20"/>
          <w:szCs w:val="20"/>
        </w:rPr>
        <w:t xml:space="preserve">On the out-and-out construction the ceded claim falls into the cessionary’s insolvent estate, and the cedent ranks as a concurrent creditor for its re-cession claim. Under the pledge construction it does not. If the share sale is worth materially more than R2.4m, Plane Tree’s insolvency would cost us the entire excess. This is the strongest single reason to insist on cl 4.2 being changed.</w:t>
      </w:r>
    </w:p>
    <w:p>
      <w:pPr>
        <w:pStyle w:val="ListParagraph"/>
        <w:numPr>
          <w:ilvl w:val="0"/>
          <w:numId w:val="3"/>
        </w:numPr>
        <w:spacing w:after="70" w:line="270"/>
      </w:pPr>
      <w:r>
        <w:rPr>
          <w:rFonts w:ascii="Calibri" w:cs="Calibri" w:eastAsia="Calibri" w:hAnsi="Calibri"/>
          <w:b/>
          <w:bCs/>
          <w:color w:val="1F1F1F"/>
          <w:sz w:val="20"/>
          <w:szCs w:val="20"/>
        </w:rPr>
        <w:t xml:space="preserve">There is no surplus-accounting clause for this cession. </w:t>
      </w:r>
      <w:r>
        <w:rPr>
          <w:rFonts w:ascii="Calibri" w:cs="Calibri" w:eastAsia="Calibri" w:hAnsi="Calibri"/>
          <w:color w:val="1F1F1F"/>
          <w:sz w:val="20"/>
          <w:szCs w:val="20"/>
        </w:rPr>
        <w:t xml:space="preserve">At common law a cessionary who realises more than the secured debt must refund the excess — but that duty is default, not peremptory, and can be contracted out of, and we found no decided case on an out-and-out cession silent on the point. cl 5.3 does oblige Plane Tree to credit net proceeds, but it sits in the enforcement clause and speaks to realising Secured Property after an Event of Default; the cl 4.2 cession operates from signature date and sits outside it.</w:t>
      </w:r>
    </w:p>
    <w:p>
      <w:pPr>
        <w:pStyle w:val="ListParagraph"/>
        <w:numPr>
          <w:ilvl w:val="0"/>
          <w:numId w:val="3"/>
        </w:numPr>
        <w:spacing w:after="70" w:line="270"/>
      </w:pPr>
      <w:r>
        <w:rPr>
          <w:rFonts w:ascii="Calibri" w:cs="Calibri" w:eastAsia="Calibri" w:hAnsi="Calibri"/>
          <w:b/>
          <w:bCs/>
          <w:color w:val="1F1F1F"/>
          <w:sz w:val="20"/>
          <w:szCs w:val="20"/>
        </w:rPr>
        <w:t xml:space="preserve">We also lose standing to sue the De Jonghs. </w:t>
      </w:r>
      <w:r>
        <w:rPr>
          <w:rFonts w:ascii="Calibri" w:cs="Calibri" w:eastAsia="Calibri" w:hAnsi="Calibri"/>
          <w:color w:val="1F1F1F"/>
          <w:sz w:val="20"/>
          <w:szCs w:val="20"/>
        </w:rPr>
        <w:t xml:space="preserve">On </w:t>
      </w:r>
      <w:r>
        <w:rPr>
          <w:rFonts w:ascii="Calibri" w:cs="Calibri" w:eastAsia="Calibri" w:hAnsi="Calibri"/>
          <w:i/>
          <w:iCs/>
          <w:color w:val="1F1F1F"/>
          <w:sz w:val="20"/>
          <w:szCs w:val="20"/>
        </w:rPr>
        <w:t xml:space="preserve">Picardi Hotels v Thekweni Properties</w:t>
      </w:r>
      <w:r>
        <w:rPr>
          <w:rFonts w:ascii="Calibri" w:cs="Calibri" w:eastAsia="Calibri" w:hAnsi="Calibri"/>
          <w:color w:val="1F1F1F"/>
          <w:sz w:val="20"/>
          <w:szCs w:val="20"/>
        </w:rPr>
        <w:t xml:space="preserve"> [2008] ZASCA 128 a security cession deprives the cedent of the right to recover the ceded debt. If Plane Tree is passive and the claim prescribes, Tyron has no direct remedy against the purchasers.</w:t>
      </w:r>
    </w:p>
    <w:p>
      <w:pPr>
        <w:pStyle w:val="ListParagraph"/>
        <w:numPr>
          <w:ilvl w:val="0"/>
          <w:numId w:val="3"/>
        </w:numPr>
        <w:spacing w:after="70" w:line="270"/>
      </w:pPr>
      <w:r>
        <w:rPr>
          <w:rFonts w:ascii="Calibri" w:cs="Calibri" w:eastAsia="Calibri" w:hAnsi="Calibri"/>
          <w:color w:val="1F1F1F"/>
          <w:sz w:val="20"/>
          <w:szCs w:val="20"/>
        </w:rPr>
        <w:t xml:space="preserve">cl 4.4 then requires that if the De Jonghs pay Tyron directly, he must hand the money to Plane Tree within 48 hours — regardless of whether anything is due.</w:t>
      </w:r>
    </w:p>
    <w:p>
      <w:pPr>
        <w:pBdr>
          <w:top w:val="single" w:color="A32E2E" w:sz="6" w:space="8"/>
          <w:left w:val="single" w:color="A32E2E" w:sz="6" w:space="8"/>
          <w:right w:val="single" w:color="A32E2E" w:sz="6" w:space="8"/>
        </w:pBdr>
        <w:shd w:fill="F8E9E7" w:color="auto" w:val="clear"/>
        <w:spacing w:after="40" w:before="120"/>
      </w:pPr>
      <w:r>
        <w:rPr>
          <w:rFonts w:ascii="Calibri" w:cs="Calibri" w:eastAsia="Calibri" w:hAnsi="Calibri"/>
          <w:b/>
          <w:bCs/>
          <w:color w:val="A32E2E"/>
          <w:sz w:val="16"/>
          <w:szCs w:val="16"/>
        </w:rPr>
        <w:t xml:space="preserve">ASK FOR — NON-NEGOTIABLE, IN ORDER OF PREFERENCE</w:t>
      </w:r>
    </w:p>
    <w:p>
      <w:pPr>
        <w:pBdr>
          <w:left w:val="single" w:color="A32E2E" w:sz="6" w:space="8"/>
          <w:right w:val="single" w:color="A32E2E" w:sz="6" w:space="8"/>
        </w:pBdr>
        <w:shd w:fill="F8E9E7" w:color="auto" w:val="clear"/>
        <w:spacing w:after="70" w:line="270"/>
      </w:pPr>
      <w:r>
        <w:rPr>
          <w:rFonts w:ascii="Calibri" w:cs="Calibri" w:eastAsia="Calibri" w:hAnsi="Calibri"/>
          <w:color w:val="1F1F1F"/>
          <w:sz w:val="20"/>
          <w:szCs w:val="20"/>
        </w:rPr>
        <w:t xml:space="preserve">1.  Change cl 4.2 to a cession </w:t>
      </w:r>
      <w:r>
        <w:rPr>
          <w:rFonts w:ascii="Calibri" w:cs="Calibri" w:eastAsia="Calibri" w:hAnsi="Calibri"/>
          <w:i/>
          <w:iCs/>
          <w:color w:val="1F1F1F"/>
          <w:sz w:val="20"/>
          <w:szCs w:val="20"/>
        </w:rPr>
        <w:t xml:space="preserve">in securitatem debiti</w:t>
      </w:r>
      <w:r>
        <w:rPr>
          <w:rFonts w:ascii="Calibri" w:cs="Calibri" w:eastAsia="Calibri" w:hAnsi="Calibri"/>
          <w:color w:val="1F1F1F"/>
          <w:sz w:val="20"/>
          <w:szCs w:val="20"/>
        </w:rPr>
        <w:t xml:space="preserve">, on the same footing as cl 4.1; or</w:t>
      </w:r>
    </w:p>
    <w:p>
      <w:pPr>
        <w:pBdr>
          <w:left w:val="single" w:color="A32E2E" w:sz="6" w:space="8"/>
          <w:bottom w:val="single" w:color="A32E2E" w:sz="6" w:space="8"/>
          <w:right w:val="single" w:color="A32E2E" w:sz="6" w:space="8"/>
        </w:pBdr>
        <w:shd w:fill="F8E9E7" w:color="auto" w:val="clear"/>
        <w:spacing w:after="0" w:line="270"/>
      </w:pPr>
      <w:r>
        <w:rPr>
          <w:rFonts w:ascii="Calibri" w:cs="Calibri" w:eastAsia="Calibri" w:hAnsi="Calibri"/>
          <w:color w:val="1F1F1F"/>
          <w:sz w:val="20"/>
          <w:szCs w:val="20"/>
        </w:rPr>
        <w:t xml:space="preserve">2.  If they insist on out-and-out, then all three of: (i) an express automatic re-cession to the Borrower on discharge of the Secured Obligations, at Plane Tree’s cost and within 10 business days; (ii) an express obligation to account for and pay over any surplus above the Aggregate Debt within 5 business days of receipt; and (iii) an express statement that the cession secures only the Secured Obligations and no more.</w:t>
      </w:r>
    </w:p>
    <w:p>
      <w:pPr>
        <w:spacing w:after="140"/>
      </w:pPr>
      <w:r>
        <w:rPr>
          <w:rFonts w:ascii="Calibri" w:cs="Calibri" w:eastAsia="Calibri" w:hAnsi="Calibri"/>
          <w:color w:val="1F1F1F"/>
          <w:sz w:val="2"/>
          <w:szCs w:val="2"/>
        </w:rPr>
        <w:t xml:space="preserve"/>
      </w:r>
    </w:p>
    <w:p>
      <w:pPr>
        <w:pStyle w:val="Heading2"/>
        <w:spacing w:after="100" w:before="260"/>
      </w:pPr>
      <w:r>
        <w:rPr>
          <w:rFonts w:ascii="Calibri" w:cs="Calibri" w:eastAsia="Calibri" w:hAnsi="Calibri"/>
          <w:b/>
          <w:bCs/>
          <w:color w:val="1F1F1F"/>
          <w:sz w:val="23"/>
          <w:szCs w:val="23"/>
        </w:rPr>
        <w:t xml:space="preserve">5.2  No "ordinary course" carve-out — we cannot run the business  (cl 4.1.1–4.1.2, 6.1)</w:t>
      </w:r>
    </w:p>
    <w:p>
      <w:pPr>
        <w:spacing w:after="120" w:line="276"/>
      </w:pPr>
      <w:r>
        <w:rPr>
          <w:rFonts w:ascii="Calibri" w:cs="Calibri" w:eastAsia="Calibri" w:hAnsi="Calibri"/>
          <w:b/>
          <w:bCs/>
          <w:color w:val="A32E2E"/>
          <w:sz w:val="15"/>
          <w:szCs w:val="15"/>
        </w:rPr>
        <w:t xml:space="preserve">  [MUST CHANGE]  </w:t>
      </w:r>
      <w:r>
        <w:rPr>
          <w:rFonts w:ascii="Calibri" w:cs="Calibri" w:eastAsia="Calibri" w:hAnsi="Calibri"/>
          <w:color w:val="1F1F1F"/>
          <w:sz w:val="20"/>
          <w:szCs w:val="20"/>
        </w:rPr>
        <w:t xml:space="preserve"> The Ceded Claims include all present and future book debts and "all of the Borrower’s claims against the Borrower’s bankers for the net proceeds standing to the credit of the Borrower’s Account" — his bank balance. Clause 6.1 then prohibits, without prior written consent:</w:t>
      </w:r>
    </w:p>
    <w:p>
      <w:pPr>
        <w:pStyle w:val="ListParagraph"/>
        <w:numPr>
          <w:ilvl w:val="0"/>
          <w:numId w:val="3"/>
        </w:numPr>
        <w:spacing w:after="70" w:line="270"/>
      </w:pPr>
      <w:r>
        <w:rPr>
          <w:rFonts w:ascii="Calibri" w:cs="Calibri" w:eastAsia="Calibri" w:hAnsi="Calibri"/>
          <w:b/>
          <w:bCs/>
          <w:color w:val="1F1F1F"/>
          <w:sz w:val="20"/>
          <w:szCs w:val="20"/>
        </w:rPr>
        <w:t xml:space="preserve">cl 6.1.2</w:t>
      </w:r>
      <w:r>
        <w:rPr>
          <w:rFonts w:ascii="Calibri" w:cs="Calibri" w:eastAsia="Calibri" w:hAnsi="Calibri"/>
          <w:color w:val="1F1F1F"/>
          <w:sz w:val="20"/>
          <w:szCs w:val="20"/>
        </w:rPr>
        <w:t xml:space="preserve"> — selling, transferring, releasing, removing, redirecting or disposing of any Secured Property;</w:t>
      </w:r>
    </w:p>
    <w:p>
      <w:pPr>
        <w:pStyle w:val="ListParagraph"/>
        <w:numPr>
          <w:ilvl w:val="0"/>
          <w:numId w:val="3"/>
        </w:numPr>
        <w:spacing w:after="70" w:line="270"/>
      </w:pPr>
      <w:r>
        <w:rPr>
          <w:rFonts w:ascii="Calibri" w:cs="Calibri" w:eastAsia="Calibri" w:hAnsi="Calibri"/>
          <w:b/>
          <w:bCs/>
          <w:color w:val="1F1F1F"/>
          <w:sz w:val="20"/>
          <w:szCs w:val="20"/>
        </w:rPr>
        <w:t xml:space="preserve">cl 6.1.3</w:t>
      </w:r>
      <w:r>
        <w:rPr>
          <w:rFonts w:ascii="Calibri" w:cs="Calibri" w:eastAsia="Calibri" w:hAnsi="Calibri"/>
          <w:color w:val="1F1F1F"/>
          <w:sz w:val="20"/>
          <w:szCs w:val="20"/>
        </w:rPr>
        <w:t xml:space="preserve"> — any action, or omission, that "will, might or tends to in any way adversely affect" their interest;</w:t>
      </w:r>
    </w:p>
    <w:p>
      <w:pPr>
        <w:pStyle w:val="ListParagraph"/>
        <w:numPr>
          <w:ilvl w:val="0"/>
          <w:numId w:val="3"/>
        </w:numPr>
        <w:spacing w:after="70" w:line="270"/>
      </w:pPr>
      <w:r>
        <w:rPr>
          <w:rFonts w:ascii="Calibri" w:cs="Calibri" w:eastAsia="Calibri" w:hAnsi="Calibri"/>
          <w:b/>
          <w:bCs/>
          <w:color w:val="1F1F1F"/>
          <w:sz w:val="20"/>
          <w:szCs w:val="20"/>
        </w:rPr>
        <w:t xml:space="preserve">cl 6.1.6</w:t>
      </w:r>
      <w:r>
        <w:rPr>
          <w:rFonts w:ascii="Calibri" w:cs="Calibri" w:eastAsia="Calibri" w:hAnsi="Calibri"/>
          <w:color w:val="1F1F1F"/>
          <w:sz w:val="20"/>
          <w:szCs w:val="20"/>
        </w:rPr>
        <w:t xml:space="preserve"> — "divert, redirect, withdraw, transfer, set off, compromise or otherwise deal with" any payment, proceeds, receivable or other amount other than per "the payment flow approved by the Lender".</w:t>
      </w:r>
    </w:p>
    <w:p>
      <w:pPr>
        <w:spacing w:after="120" w:line="276"/>
      </w:pPr>
      <w:r>
        <w:rPr>
          <w:rFonts w:ascii="Calibri" w:cs="Calibri" w:eastAsia="Calibri" w:hAnsi="Calibri"/>
          <w:color w:val="1F1F1F"/>
          <w:sz w:val="20"/>
          <w:szCs w:val="20"/>
        </w:rPr>
        <w:t xml:space="preserve">There is no ordinary-course permission anywhere in the document, and no payment flow has been agreed or attached. Read literally, from signature date Tyron may not collect a debtor or draw on his own bank account. A court would strain to avoid that reading. We should never rely on a court straining.</w:t>
      </w:r>
    </w:p>
    <w:p>
      <w:pPr>
        <w:pBdr>
          <w:top w:val="single" w:color="A32E2E" w:sz="6" w:space="8"/>
          <w:left w:val="single" w:color="A32E2E" w:sz="6" w:space="8"/>
          <w:right w:val="single" w:color="A32E2E" w:sz="6" w:space="8"/>
        </w:pBdr>
        <w:shd w:fill="F8E9E7" w:color="auto" w:val="clear"/>
        <w:spacing w:after="40" w:before="120"/>
      </w:pPr>
      <w:r>
        <w:rPr>
          <w:rFonts w:ascii="Calibri" w:cs="Calibri" w:eastAsia="Calibri" w:hAnsi="Calibri"/>
          <w:b/>
          <w:bCs/>
          <w:color w:val="A32E2E"/>
          <w:sz w:val="16"/>
          <w:szCs w:val="16"/>
        </w:rPr>
        <w:t xml:space="preserve">ASK FOR — NON-NEGOTIABLE</w:t>
      </w:r>
    </w:p>
    <w:p>
      <w:pPr>
        <w:pBdr>
          <w:left w:val="single" w:color="A32E2E" w:sz="6" w:space="8"/>
          <w:bottom w:val="single" w:color="A32E2E" w:sz="6" w:space="8"/>
          <w:right w:val="single" w:color="A32E2E" w:sz="6" w:space="8"/>
        </w:pBdr>
        <w:shd w:fill="F8E9E7" w:color="auto" w:val="clear"/>
        <w:spacing w:after="0" w:line="270"/>
      </w:pPr>
      <w:r>
        <w:rPr>
          <w:rFonts w:ascii="Calibri" w:cs="Calibri" w:eastAsia="Calibri" w:hAnsi="Calibri"/>
          <w:color w:val="1F1F1F"/>
          <w:sz w:val="20"/>
          <w:szCs w:val="20"/>
        </w:rPr>
        <w:t xml:space="preserve">An express clause permitting the Borrower to collect the Ceded Claims and to operate the Borrower’s Account in the ordinary course of business, and to retain and apply the proceeds, until an Event of Default has occurred and is continuing and Plane Tree has given written notice invoking the cession. This is standard in every properly drafted security cession; its absence here is conspicuous.</w:t>
      </w:r>
    </w:p>
    <w:p>
      <w:pPr>
        <w:spacing w:after="140"/>
      </w:pPr>
      <w:r>
        <w:rPr>
          <w:rFonts w:ascii="Calibri" w:cs="Calibri" w:eastAsia="Calibri" w:hAnsi="Calibri"/>
          <w:color w:val="1F1F1F"/>
          <w:sz w:val="2"/>
          <w:szCs w:val="2"/>
        </w:rPr>
        <w:t xml:space="preserve"/>
      </w:r>
    </w:p>
    <w:p>
      <w:pPr>
        <w:pStyle w:val="Heading2"/>
        <w:spacing w:after="100" w:before="260"/>
      </w:pPr>
      <w:r>
        <w:rPr>
          <w:rFonts w:ascii="Calibri" w:cs="Calibri" w:eastAsia="Calibri" w:hAnsi="Calibri"/>
          <w:b/>
          <w:bCs/>
          <w:color w:val="1F1F1F"/>
          <w:sz w:val="23"/>
          <w:szCs w:val="23"/>
        </w:rPr>
        <w:t xml:space="preserve">5.3  Enforcement "without notice and without any court"  (cl 5.1)</w:t>
      </w:r>
    </w:p>
    <w:p>
      <w:pPr>
        <w:spacing w:after="120" w:line="276"/>
      </w:pPr>
      <w:r>
        <w:rPr>
          <w:rFonts w:ascii="Calibri" w:cs="Calibri" w:eastAsia="Calibri" w:hAnsi="Calibri"/>
          <w:b/>
          <w:bCs/>
          <w:color w:val="A32E2E"/>
          <w:sz w:val="15"/>
          <w:szCs w:val="15"/>
        </w:rPr>
        <w:t xml:space="preserve">  [MUST CHANGE]  </w:t>
      </w:r>
      <w:r>
        <w:rPr>
          <w:rFonts w:ascii="Calibri" w:cs="Calibri" w:eastAsia="Calibri" w:hAnsi="Calibri"/>
          <w:color w:val="1F1F1F"/>
          <w:sz w:val="20"/>
          <w:szCs w:val="20"/>
        </w:rPr>
        <w:t xml:space="preserve"> cl 5.1: on an Event of Default the security becomes "immediately enforceable by the Lender in its discretion without the need for prior notice to the Borrower or any prior authorisation from any court or arbitrator."</w:t>
      </w:r>
    </w:p>
    <w:p>
      <w:pPr>
        <w:spacing w:after="120" w:line="276"/>
      </w:pPr>
      <w:r>
        <w:rPr>
          <w:rFonts w:ascii="Calibri" w:cs="Calibri" w:eastAsia="Calibri" w:hAnsi="Calibri"/>
          <w:b/>
          <w:bCs/>
          <w:color w:val="1F1F1F"/>
          <w:sz w:val="20"/>
          <w:szCs w:val="20"/>
        </w:rPr>
        <w:t xml:space="preserve">This clause is unenforceable, and probably void. Three independent reasons:</w:t>
      </w:r>
    </w:p>
    <w:p>
      <w:pPr>
        <w:pStyle w:val="ListParagraph"/>
        <w:numPr>
          <w:ilvl w:val="0"/>
          <w:numId w:val="2"/>
        </w:numPr>
        <w:spacing w:after="70" w:line="270"/>
      </w:pPr>
      <w:r>
        <w:rPr>
          <w:rFonts w:ascii="Calibri" w:cs="Calibri" w:eastAsia="Calibri" w:hAnsi="Calibri"/>
          <w:b/>
          <w:bCs/>
          <w:color w:val="1F1F1F"/>
          <w:sz w:val="20"/>
          <w:szCs w:val="20"/>
        </w:rPr>
        <w:t xml:space="preserve">NCA s130(3) overrides it by its own terms. </w:t>
      </w:r>
      <w:r>
        <w:rPr>
          <w:rFonts w:ascii="Calibri" w:cs="Calibri" w:eastAsia="Calibri" w:hAnsi="Calibri"/>
          <w:color w:val="1F1F1F"/>
          <w:sz w:val="20"/>
          <w:szCs w:val="20"/>
        </w:rPr>
        <w:t xml:space="preserve">It provides that "despite any provision of law or contract to the contrary", a court may determine a matter on an NCA credit agreement only if satisfied that the s127, s129 or s131 procedures have been complied with; s130(4) requires the court to adjourn otherwise. No drafting can get around a provision that expressly anticipates contrary drafting.</w:t>
      </w:r>
    </w:p>
    <w:p>
      <w:pPr>
        <w:pStyle w:val="ListParagraph"/>
        <w:numPr>
          <w:ilvl w:val="0"/>
          <w:numId w:val="2"/>
        </w:numPr>
        <w:spacing w:after="70" w:line="270"/>
      </w:pPr>
      <w:r>
        <w:rPr>
          <w:rFonts w:ascii="Calibri" w:cs="Calibri" w:eastAsia="Calibri" w:hAnsi="Calibri"/>
          <w:b/>
          <w:bCs/>
          <w:color w:val="1F1F1F"/>
          <w:sz w:val="20"/>
          <w:szCs w:val="20"/>
        </w:rPr>
        <w:t xml:space="preserve">Self-help seizure is unconstitutional. </w:t>
      </w:r>
      <w:r>
        <w:rPr>
          <w:rFonts w:ascii="Calibri" w:cs="Calibri" w:eastAsia="Calibri" w:hAnsi="Calibri"/>
          <w:color w:val="1F1F1F"/>
          <w:sz w:val="20"/>
          <w:szCs w:val="20"/>
        </w:rPr>
        <w:t xml:space="preserve">In </w:t>
      </w:r>
      <w:r>
        <w:rPr>
          <w:rFonts w:ascii="Calibri" w:cs="Calibri" w:eastAsia="Calibri" w:hAnsi="Calibri"/>
          <w:i/>
          <w:iCs/>
          <w:color w:val="1F1F1F"/>
          <w:sz w:val="20"/>
          <w:szCs w:val="20"/>
        </w:rPr>
        <w:t xml:space="preserve">Chief Lesapo v North West Agricultural Bank</w:t>
      </w:r>
      <w:r>
        <w:rPr>
          <w:rFonts w:ascii="Calibri" w:cs="Calibri" w:eastAsia="Calibri" w:hAnsi="Calibri"/>
          <w:color w:val="1F1F1F"/>
          <w:sz w:val="20"/>
          <w:szCs w:val="20"/>
        </w:rPr>
        <w:t xml:space="preserve"> [1999] ZACC 16 the Constitutional Court struck down a statute allowing a creditor to attach and sell a defaulting debtor’s property on its own authority: taking property from a debtor in possession without a court order is self-help and infringes s34 of the Constitution. All four pledged assets are in Tyron’s possession.</w:t>
      </w:r>
    </w:p>
    <w:p>
      <w:pPr>
        <w:pStyle w:val="ListParagraph"/>
        <w:numPr>
          <w:ilvl w:val="0"/>
          <w:numId w:val="2"/>
        </w:numPr>
        <w:spacing w:after="70" w:line="270"/>
      </w:pPr>
      <w:r>
        <w:rPr>
          <w:rFonts w:ascii="Calibri" w:cs="Calibri" w:eastAsia="Calibri" w:hAnsi="Calibri"/>
          <w:b/>
          <w:bCs/>
          <w:color w:val="1F1F1F"/>
          <w:sz w:val="20"/>
          <w:szCs w:val="20"/>
        </w:rPr>
        <w:t xml:space="preserve">It is an unlawful provision under s90. </w:t>
      </w:r>
      <w:r>
        <w:rPr>
          <w:rFonts w:ascii="Calibri" w:cs="Calibri" w:eastAsia="Calibri" w:hAnsi="Calibri"/>
          <w:color w:val="1F1F1F"/>
          <w:sz w:val="20"/>
          <w:szCs w:val="20"/>
        </w:rPr>
        <w:t xml:space="preserve">A term whose effect is to dispense with s129/s130/s131 defeats the purposes of the Act (s90(2)(a)(i)) and is caught by the s90(2)(k) family. Under s90(3) it is void from inception, and under s90(4) a court may sever it or declare the whole agreement unlawful.</w:t>
      </w:r>
    </w:p>
    <w:p>
      <w:pPr>
        <w:spacing w:after="120" w:line="276"/>
      </w:pPr>
      <w:r>
        <w:rPr>
          <w:rFonts w:ascii="Calibri" w:cs="Calibri" w:eastAsia="Calibri" w:hAnsi="Calibri"/>
          <w:b/>
          <w:bCs/>
          <w:color w:val="1F1F1F"/>
          <w:sz w:val="20"/>
          <w:szCs w:val="20"/>
        </w:rPr>
        <w:t xml:space="preserve">And the "the NCA isn’t mentioned" gap cuts the opposite way to how it first looks. </w:t>
      </w:r>
      <w:r>
        <w:rPr>
          <w:rFonts w:ascii="Calibri" w:cs="Calibri" w:eastAsia="Calibri" w:hAnsi="Calibri"/>
          <w:color w:val="1F1F1F"/>
          <w:sz w:val="20"/>
          <w:szCs w:val="20"/>
        </w:rPr>
        <w:t xml:space="preserve">The words "National Credit Act" and "NCA" appear nowhere in the Pledge, and the Loan Agreement’s cl 1 prevalence clause does not reach a separate contract. But NCA s91(a) provides that a credit provider must not require or induce a consumer to enter a supplementary agreement containing a provision that would be unlawful if it were in a credit agreement. A pledge and cession taken by the credit provider from the same consumer as a condition of the credit is the paradigm supplementary agreement — so the NCA reaches this document whether or not it says so. That was decided on closely comparable facts in </w:t>
      </w:r>
      <w:r>
        <w:rPr>
          <w:rFonts w:ascii="Calibri" w:cs="Calibri" w:eastAsia="Calibri" w:hAnsi="Calibri"/>
          <w:i/>
          <w:iCs/>
          <w:color w:val="1F1F1F"/>
          <w:sz w:val="20"/>
          <w:szCs w:val="20"/>
        </w:rPr>
        <w:t xml:space="preserve">Absa Bank Ltd v Serfontein</w:t>
      </w:r>
      <w:r>
        <w:rPr>
          <w:rFonts w:ascii="Calibri" w:cs="Calibri" w:eastAsia="Calibri" w:hAnsi="Calibri"/>
          <w:color w:val="1F1F1F"/>
          <w:sz w:val="20"/>
          <w:szCs w:val="20"/>
        </w:rPr>
        <w:t xml:space="preserve"> (SCA, 10 February 2025).</w:t>
      </w:r>
    </w:p>
    <w:p>
      <w:pPr>
        <w:pBdr>
          <w:top w:val="single" w:color="A85A2E" w:sz="6" w:space="8"/>
          <w:left w:val="single" w:color="A85A2E" w:sz="6" w:space="8"/>
          <w:right w:val="single" w:color="A85A2E" w:sz="6" w:space="8"/>
        </w:pBdr>
        <w:shd w:fill="F5E9E0" w:color="auto" w:val="clear"/>
        <w:spacing w:after="40" w:before="120"/>
      </w:pPr>
      <w:r>
        <w:rPr>
          <w:rFonts w:ascii="Calibri" w:cs="Calibri" w:eastAsia="Calibri" w:hAnsi="Calibri"/>
          <w:b/>
          <w:bCs/>
          <w:color w:val="A85A2E"/>
          <w:sz w:val="16"/>
          <w:szCs w:val="16"/>
        </w:rPr>
        <w:t xml:space="preserve">THE ARGUMENT TO MAKE</w:t>
      </w:r>
    </w:p>
    <w:p>
      <w:pPr>
        <w:pBdr>
          <w:left w:val="single" w:color="A85A2E" w:sz="6" w:space="8"/>
          <w:right w:val="single" w:color="A85A2E" w:sz="6" w:space="8"/>
        </w:pBdr>
        <w:shd w:fill="F5E9E0" w:color="auto" w:val="clear"/>
        <w:spacing w:after="70" w:line="270"/>
      </w:pPr>
      <w:r>
        <w:rPr>
          <w:rFonts w:ascii="Calibri" w:cs="Calibri" w:eastAsia="Calibri" w:hAnsi="Calibri"/>
          <w:color w:val="1F1F1F"/>
          <w:sz w:val="20"/>
          <w:szCs w:val="20"/>
        </w:rPr>
        <w:t xml:space="preserve">We should not be frightened by cl 5.1 — it will not do what it says. More usefully, </w:t>
      </w:r>
      <w:r>
        <w:rPr>
          <w:rFonts w:ascii="Calibri" w:cs="Calibri" w:eastAsia="Calibri" w:hAnsi="Calibri"/>
          <w:b/>
          <w:bCs/>
          <w:color w:val="1F1F1F"/>
          <w:sz w:val="20"/>
          <w:szCs w:val="20"/>
        </w:rPr>
        <w:t xml:space="preserve">Plane Tree should be more worried about it than we are</w:t>
      </w:r>
      <w:r>
        <w:rPr>
          <w:rFonts w:ascii="Calibri" w:cs="Calibri" w:eastAsia="Calibri" w:hAnsi="Calibri"/>
          <w:color w:val="1F1F1F"/>
          <w:sz w:val="20"/>
          <w:szCs w:val="20"/>
        </w:rPr>
        <w:t xml:space="preserve">: on s90(4) an unseverable cluster of unlawful terms in this document (cl 5.1, the cl 6.3 power of attorney, the cl 5.2.9 auditor valuation) could take the entire security package down with it, leaving them unsecured. It is in their own interest to fix.</w:t>
      </w:r>
    </w:p>
    <w:p>
      <w:pPr>
        <w:pBdr>
          <w:left w:val="single" w:color="A85A2E" w:sz="6" w:space="8"/>
          <w:bottom w:val="single" w:color="A85A2E" w:sz="6" w:space="8"/>
          <w:right w:val="single" w:color="A85A2E" w:sz="6" w:space="8"/>
        </w:pBdr>
        <w:shd w:fill="F5E9E0" w:color="auto" w:val="clear"/>
        <w:spacing w:after="0" w:line="270"/>
      </w:pPr>
      <w:r>
        <w:rPr>
          <w:rFonts w:ascii="Calibri" w:cs="Calibri" w:eastAsia="Calibri" w:hAnsi="Calibri"/>
          <w:b/>
          <w:bCs/>
          <w:color w:val="1F1F1F"/>
          <w:sz w:val="20"/>
          <w:szCs w:val="20"/>
        </w:rPr>
        <w:t xml:space="preserve">Fix — cheap for them to give: </w:t>
      </w:r>
      <w:r>
        <w:rPr>
          <w:rFonts w:ascii="Calibri" w:cs="Calibri" w:eastAsia="Calibri" w:hAnsi="Calibri"/>
          <w:color w:val="1F1F1F"/>
          <w:sz w:val="20"/>
          <w:szCs w:val="20"/>
        </w:rPr>
        <w:t xml:space="preserve">insert "This Agreement is subject to the National Credit Act 34 of 2005. To the extent of any conflict between this Agreement and the National Credit Act, or clauses 1 or 19 of the Loan Facility Agreement, the National Credit Act and those clauses shall prevail."</w:t>
      </w:r>
    </w:p>
    <w:p>
      <w:pPr>
        <w:spacing w:after="140"/>
      </w:pPr>
      <w:r>
        <w:rPr>
          <w:rFonts w:ascii="Calibri" w:cs="Calibri" w:eastAsia="Calibri" w:hAnsi="Calibri"/>
          <w:color w:val="1F1F1F"/>
          <w:sz w:val="2"/>
          <w:szCs w:val="2"/>
        </w:rPr>
        <w:t xml:space="preserve"/>
      </w:r>
    </w:p>
    <w:p>
      <w:pPr>
        <w:pStyle w:val="Heading2"/>
        <w:spacing w:after="100" w:before="260"/>
      </w:pPr>
      <w:r>
        <w:rPr>
          <w:rFonts w:ascii="Calibri" w:cs="Calibri" w:eastAsia="Calibri" w:hAnsi="Calibri"/>
          <w:b/>
          <w:bCs/>
          <w:color w:val="1F1F1F"/>
          <w:sz w:val="23"/>
          <w:szCs w:val="23"/>
        </w:rPr>
        <w:t xml:space="preserve">5.4  Perfection on demand — they can take the operating equipment at any time  (cl 4.13, 4.14)</w:t>
      </w:r>
    </w:p>
    <w:p>
      <w:pPr>
        <w:spacing w:after="120" w:line="276"/>
      </w:pPr>
      <w:r>
        <w:rPr>
          <w:rFonts w:ascii="Calibri" w:cs="Calibri" w:eastAsia="Calibri" w:hAnsi="Calibri"/>
          <w:b/>
          <w:bCs/>
          <w:color w:val="A32E2E"/>
          <w:sz w:val="15"/>
          <w:szCs w:val="15"/>
        </w:rPr>
        <w:t xml:space="preserve">  [MUST CHANGE]  </w:t>
      </w:r>
      <w:r>
        <w:rPr>
          <w:rFonts w:ascii="Calibri" w:cs="Calibri" w:eastAsia="Calibri" w:hAnsi="Calibri"/>
          <w:color w:val="1F1F1F"/>
          <w:sz w:val="20"/>
          <w:szCs w:val="20"/>
        </w:rPr>
        <w:t xml:space="preserve"> cl 4.13 obliges us, immediately upon request and with no reference to default, to procure physical or constructive delivery, control, attornment, endorsement of documents and release instructions over the Pledged Property. cl 4.14 requires original NATIS documents on request. The Pledged Property is not idle collateral — it is the Amarok, the 1TPH induction furnace, the CAT 416F backhoe loader, the rock hammer, and "its inventory from time to time". That is the operating plant. A perfection demand made before any default would stop the business, which would then cause a default.</w:t>
      </w:r>
    </w:p>
    <w:p>
      <w:pPr>
        <w:pBdr>
          <w:top w:val="single" w:color="A85A2E" w:sz="6" w:space="8"/>
          <w:left w:val="single" w:color="A85A2E" w:sz="6" w:space="8"/>
          <w:right w:val="single" w:color="A85A2E" w:sz="6" w:space="8"/>
        </w:pBdr>
        <w:shd w:fill="F5E9E0" w:color="auto" w:val="clear"/>
        <w:spacing w:after="40" w:before="120"/>
      </w:pPr>
      <w:r>
        <w:rPr>
          <w:rFonts w:ascii="Calibri" w:cs="Calibri" w:eastAsia="Calibri" w:hAnsi="Calibri"/>
          <w:b/>
          <w:bCs/>
          <w:color w:val="A85A2E"/>
          <w:sz w:val="16"/>
          <w:szCs w:val="16"/>
        </w:rPr>
        <w:t xml:space="preserve">ASK FOR</w:t>
      </w:r>
    </w:p>
    <w:p>
      <w:pPr>
        <w:pBdr>
          <w:left w:val="single" w:color="A85A2E" w:sz="6" w:space="8"/>
          <w:bottom w:val="single" w:color="A85A2E" w:sz="6" w:space="8"/>
          <w:right w:val="single" w:color="A85A2E" w:sz="6" w:space="8"/>
        </w:pBdr>
        <w:shd w:fill="F5E9E0" w:color="auto" w:val="clear"/>
        <w:spacing w:after="0" w:line="270"/>
      </w:pPr>
      <w:r>
        <w:rPr>
          <w:rFonts w:ascii="Calibri" w:cs="Calibri" w:eastAsia="Calibri" w:hAnsi="Calibri"/>
          <w:color w:val="1F1F1F"/>
          <w:sz w:val="20"/>
          <w:szCs w:val="20"/>
        </w:rPr>
        <w:t xml:space="preserve">Every perfection obligation exercisable only after an Event of Default that is continuing. Before that, we deliver copies of documents, not possession.</w:t>
      </w:r>
    </w:p>
    <w:p>
      <w:pPr>
        <w:spacing w:after="140"/>
      </w:pPr>
      <w:r>
        <w:rPr>
          <w:rFonts w:ascii="Calibri" w:cs="Calibri" w:eastAsia="Calibri" w:hAnsi="Calibri"/>
          <w:color w:val="1F1F1F"/>
          <w:sz w:val="2"/>
          <w:szCs w:val="2"/>
        </w:rPr>
        <w:t xml:space="preserve"/>
      </w:r>
    </w:p>
    <w:p>
      <w:pPr>
        <w:pStyle w:val="Heading2"/>
        <w:spacing w:after="100" w:before="260"/>
      </w:pPr>
      <w:r>
        <w:rPr>
          <w:rFonts w:ascii="Calibri" w:cs="Calibri" w:eastAsia="Calibri" w:hAnsi="Calibri"/>
          <w:b/>
          <w:bCs/>
          <w:color w:val="1F1F1F"/>
          <w:sz w:val="23"/>
          <w:szCs w:val="23"/>
        </w:rPr>
        <w:t xml:space="preserve">5.5  The pledge creates no real security at all — over anything  (cl 1.1.10.5)</w:t>
      </w:r>
    </w:p>
    <w:p>
      <w:pPr>
        <w:spacing w:after="120" w:line="276"/>
      </w:pPr>
      <w:r>
        <w:rPr>
          <w:rFonts w:ascii="Calibri" w:cs="Calibri" w:eastAsia="Calibri" w:hAnsi="Calibri"/>
          <w:b/>
          <w:bCs/>
          <w:color w:val="8A5A18"/>
          <w:sz w:val="15"/>
          <w:szCs w:val="15"/>
        </w:rPr>
        <w:t xml:space="preserve">  [PRESS HARD]  </w:t>
      </w:r>
      <w:r>
        <w:rPr>
          <w:rFonts w:ascii="Calibri" w:cs="Calibri" w:eastAsia="Calibri" w:hAnsi="Calibri"/>
          <w:color w:val="1F1F1F"/>
          <w:sz w:val="20"/>
          <w:szCs w:val="20"/>
        </w:rPr>
        <w:t xml:space="preserve"> Under South African law a pledge of movables requires delivery to be perfected, and </w:t>
      </w:r>
      <w:r>
        <w:rPr>
          <w:rFonts w:ascii="Calibri" w:cs="Calibri" w:eastAsia="Calibri" w:hAnsi="Calibri"/>
          <w:i/>
          <w:iCs/>
          <w:color w:val="1F1F1F"/>
          <w:sz w:val="20"/>
          <w:szCs w:val="20"/>
        </w:rPr>
        <w:t xml:space="preserve">constitutum possessorium</w:t>
      </w:r>
      <w:r>
        <w:rPr>
          <w:rFonts w:ascii="Calibri" w:cs="Calibri" w:eastAsia="Calibri" w:hAnsi="Calibri"/>
          <w:color w:val="1F1F1F"/>
          <w:sz w:val="20"/>
          <w:szCs w:val="20"/>
        </w:rPr>
        <w:t xml:space="preserve"> is not permitted: in </w:t>
      </w:r>
      <w:r>
        <w:rPr>
          <w:rFonts w:ascii="Calibri" w:cs="Calibri" w:eastAsia="Calibri" w:hAnsi="Calibri"/>
          <w:i/>
          <w:iCs/>
          <w:color w:val="1F1F1F"/>
          <w:sz w:val="20"/>
          <w:szCs w:val="20"/>
        </w:rPr>
        <w:t xml:space="preserve">Vasco Dry Cleaners v Twycross</w:t>
      </w:r>
      <w:r>
        <w:rPr>
          <w:rFonts w:ascii="Calibri" w:cs="Calibri" w:eastAsia="Calibri" w:hAnsi="Calibri"/>
          <w:color w:val="1F1F1F"/>
          <w:sz w:val="20"/>
          <w:szCs w:val="20"/>
        </w:rPr>
        <w:t xml:space="preserve"> 1979 (1) SA 603 (A) the Appellate Division held that a "pledge" where the article remains with the pledgor creates no real security right at all. That is true here not just of the inventory but of all four identified assets, which stay in Tyron’s possession. Plane Tree therefore has, today, a personal right only. This is why cl 4.13 is drafted so aggressively — the delivery demand is the whole security. Expect that to be where the pressure comes from, and expect it early.</w:t>
      </w:r>
    </w:p>
    <w:p>
      <w:pPr>
        <w:pBdr>
          <w:top w:val="single" w:color="A85A2E" w:sz="6" w:space="8"/>
          <w:left w:val="single" w:color="A85A2E" w:sz="6" w:space="8"/>
          <w:right w:val="single" w:color="A85A2E" w:sz="6" w:space="8"/>
        </w:pBdr>
        <w:shd w:fill="F5E9E0" w:color="auto" w:val="clear"/>
        <w:spacing w:after="40" w:before="120"/>
      </w:pPr>
      <w:r>
        <w:rPr>
          <w:rFonts w:ascii="Calibri" w:cs="Calibri" w:eastAsia="Calibri" w:hAnsi="Calibri"/>
          <w:b/>
          <w:bCs/>
          <w:color w:val="A85A2E"/>
          <w:sz w:val="16"/>
          <w:szCs w:val="16"/>
        </w:rPr>
        <w:t xml:space="preserve">THE CONSTRUCTIVE COUNTER-OFFER</w:t>
      </w:r>
    </w:p>
    <w:p>
      <w:pPr>
        <w:pBdr>
          <w:left w:val="single" w:color="A85A2E" w:sz="6" w:space="8"/>
          <w:right w:val="single" w:color="A85A2E" w:sz="6" w:space="8"/>
        </w:pBdr>
        <w:shd w:fill="F5E9E0" w:color="auto" w:val="clear"/>
        <w:spacing w:after="70" w:line="270"/>
      </w:pPr>
      <w:r>
        <w:rPr>
          <w:rFonts w:ascii="Calibri" w:cs="Calibri" w:eastAsia="Calibri" w:hAnsi="Calibri"/>
          <w:color w:val="1F1F1F"/>
          <w:sz w:val="20"/>
          <w:szCs w:val="20"/>
        </w:rPr>
        <w:t xml:space="preserve">A </w:t>
      </w:r>
      <w:r>
        <w:rPr>
          <w:rFonts w:ascii="Calibri" w:cs="Calibri" w:eastAsia="Calibri" w:hAnsi="Calibri"/>
          <w:b/>
          <w:bCs/>
          <w:color w:val="1F1F1F"/>
          <w:sz w:val="20"/>
          <w:szCs w:val="20"/>
        </w:rPr>
        <w:t xml:space="preserve">special notarial bond</w:t>
      </w:r>
      <w:r>
        <w:rPr>
          <w:rFonts w:ascii="Calibri" w:cs="Calibri" w:eastAsia="Calibri" w:hAnsi="Calibri"/>
          <w:color w:val="1F1F1F"/>
          <w:sz w:val="20"/>
          <w:szCs w:val="20"/>
        </w:rPr>
        <w:t xml:space="preserve"> over the four identified assets under s1(1) of the Security by Means of Movable Property Act 57 of 1993, which deems specified movables pledged notwithstanding non-delivery once registered. It gives them registrable, real security without stripping us of the operating plant — a better outcome for both sides than a perfection fight.</w:t>
      </w:r>
    </w:p>
    <w:p>
      <w:pPr>
        <w:pBdr>
          <w:left w:val="single" w:color="A85A2E" w:sz="6" w:space="8"/>
          <w:bottom w:val="single" w:color="A85A2E" w:sz="6" w:space="8"/>
          <w:right w:val="single" w:color="A85A2E" w:sz="6" w:space="8"/>
        </w:pBdr>
        <w:shd w:fill="F5E9E0" w:color="auto" w:val="clear"/>
        <w:spacing w:after="0" w:line="270"/>
      </w:pPr>
      <w:r>
        <w:rPr>
          <w:rFonts w:ascii="Calibri" w:cs="Calibri" w:eastAsia="Calibri" w:hAnsi="Calibri"/>
          <w:color w:val="1F1F1F"/>
          <w:sz w:val="20"/>
          <w:szCs w:val="20"/>
        </w:rPr>
        <w:t xml:space="preserve">Two caveats: </w:t>
      </w:r>
      <w:r>
        <w:rPr>
          <w:rFonts w:ascii="Calibri" w:cs="Calibri" w:eastAsia="Calibri" w:hAnsi="Calibri"/>
          <w:i/>
          <w:iCs/>
          <w:color w:val="1F1F1F"/>
          <w:sz w:val="20"/>
          <w:szCs w:val="20"/>
        </w:rPr>
        <w:t xml:space="preserve">Ikea Trading und Design AG v BOE Bank</w:t>
      </w:r>
      <w:r>
        <w:rPr>
          <w:rFonts w:ascii="Calibri" w:cs="Calibri" w:eastAsia="Calibri" w:hAnsi="Calibri"/>
          <w:color w:val="1F1F1F"/>
          <w:sz w:val="20"/>
          <w:szCs w:val="20"/>
        </w:rPr>
        <w:t xml:space="preserve"> [2004] ZASCA 27 requires the assets to be "readily recognisable from the bond alone", so the VIN, engine and serial descriptions must be exact (see the Amarok registration error in section 6) — and fluctuating inventory will not satisfy that test, so stock cannot go into a special notarial bond. Offer the four assets; resist the inventory.</w:t>
      </w:r>
    </w:p>
    <w:p>
      <w:pPr>
        <w:spacing w:after="140"/>
      </w:pPr>
      <w:r>
        <w:rPr>
          <w:rFonts w:ascii="Calibri" w:cs="Calibri" w:eastAsia="Calibri" w:hAnsi="Calibri"/>
          <w:color w:val="1F1F1F"/>
          <w:sz w:val="2"/>
          <w:szCs w:val="2"/>
        </w:rPr>
        <w:t xml:space="preserve"/>
      </w:r>
    </w:p>
    <w:p>
      <w:pPr>
        <w:pStyle w:val="Heading2"/>
        <w:spacing w:after="100" w:before="260"/>
      </w:pPr>
      <w:r>
        <w:rPr>
          <w:rFonts w:ascii="Calibri" w:cs="Calibri" w:eastAsia="Calibri" w:hAnsi="Calibri"/>
          <w:b/>
          <w:bCs/>
          <w:color w:val="1F1F1F"/>
          <w:sz w:val="23"/>
          <w:szCs w:val="23"/>
        </w:rPr>
        <w:t xml:space="preserve">5.6  They may take our assets into their own name, valued by their own auditor  (cl 5.2.9)</w:t>
      </w:r>
    </w:p>
    <w:p>
      <w:pPr>
        <w:spacing w:after="120" w:line="276"/>
      </w:pPr>
      <w:r>
        <w:rPr>
          <w:rFonts w:ascii="Calibri" w:cs="Calibri" w:eastAsia="Calibri" w:hAnsi="Calibri"/>
          <w:b/>
          <w:bCs/>
          <w:color w:val="8A5A18"/>
          <w:sz w:val="15"/>
          <w:szCs w:val="15"/>
        </w:rPr>
        <w:t xml:space="preserve">  [PRESS HARD]  </w:t>
      </w:r>
      <w:r>
        <w:rPr>
          <w:rFonts w:ascii="Calibri" w:cs="Calibri" w:eastAsia="Calibri" w:hAnsi="Calibri"/>
          <w:color w:val="1F1F1F"/>
          <w:sz w:val="20"/>
          <w:szCs w:val="20"/>
        </w:rPr>
        <w:t xml:space="preserve"> Plane Tree may elect to transfer the Secured Property into its own name as beneficial owner at "fair market value". A </w:t>
      </w:r>
      <w:r>
        <w:rPr>
          <w:rFonts w:ascii="Calibri" w:cs="Calibri" w:eastAsia="Calibri" w:hAnsi="Calibri"/>
          <w:i/>
          <w:iCs/>
          <w:color w:val="1F1F1F"/>
          <w:sz w:val="20"/>
          <w:szCs w:val="20"/>
        </w:rPr>
        <w:t xml:space="preserve">pactum commissorium</w:t>
      </w:r>
      <w:r>
        <w:rPr>
          <w:rFonts w:ascii="Calibri" w:cs="Calibri" w:eastAsia="Calibri" w:hAnsi="Calibri"/>
          <w:color w:val="1F1F1F"/>
          <w:sz w:val="20"/>
          <w:szCs w:val="20"/>
        </w:rPr>
        <w:t xml:space="preserve"> — a creditor simply keeping the security on default — is void. But a creditor taking the pledge over at a fair price, crediting the debtor with that value and paying over the surplus, is valid: </w:t>
      </w:r>
      <w:r>
        <w:rPr>
          <w:rFonts w:ascii="Calibri" w:cs="Calibri" w:eastAsia="Calibri" w:hAnsi="Calibri"/>
          <w:i/>
          <w:iCs/>
          <w:color w:val="1F1F1F"/>
          <w:sz w:val="20"/>
          <w:szCs w:val="20"/>
        </w:rPr>
        <w:t xml:space="preserve">Mapenduka v Ashington</w:t>
      </w:r>
      <w:r>
        <w:rPr>
          <w:rFonts w:ascii="Calibri" w:cs="Calibri" w:eastAsia="Calibri" w:hAnsi="Calibri"/>
          <w:color w:val="1F1F1F"/>
          <w:sz w:val="20"/>
          <w:szCs w:val="20"/>
        </w:rPr>
        <w:t xml:space="preserve"> 1919 AD 343, and the "quasi-conditional sale" recognised in </w:t>
      </w:r>
      <w:r>
        <w:rPr>
          <w:rFonts w:ascii="Calibri" w:cs="Calibri" w:eastAsia="Calibri" w:hAnsi="Calibri"/>
          <w:i/>
          <w:iCs/>
          <w:color w:val="1F1F1F"/>
          <w:sz w:val="20"/>
          <w:szCs w:val="20"/>
        </w:rPr>
        <w:t xml:space="preserve">Graf v Buechel</w:t>
      </w:r>
      <w:r>
        <w:rPr>
          <w:rFonts w:ascii="Calibri" w:cs="Calibri" w:eastAsia="Calibri" w:hAnsi="Calibri"/>
          <w:color w:val="1F1F1F"/>
          <w:sz w:val="20"/>
          <w:szCs w:val="20"/>
        </w:rPr>
        <w:t xml:space="preserve"> [2003] ZASCA 29 and applied in </w:t>
      </w:r>
      <w:r>
        <w:rPr>
          <w:rFonts w:ascii="Calibri" w:cs="Calibri" w:eastAsia="Calibri" w:hAnsi="Calibri"/>
          <w:i/>
          <w:iCs/>
          <w:color w:val="1F1F1F"/>
          <w:sz w:val="20"/>
          <w:szCs w:val="20"/>
        </w:rPr>
        <w:t xml:space="preserve">Bock v Duburoro Investments</w:t>
      </w:r>
      <w:r>
        <w:rPr>
          <w:rFonts w:ascii="Calibri" w:cs="Calibri" w:eastAsia="Calibri" w:hAnsi="Calibri"/>
          <w:color w:val="1F1F1F"/>
          <w:sz w:val="20"/>
          <w:szCs w:val="20"/>
        </w:rPr>
        <w:t xml:space="preserve"> [2003] ZASCA 94.</w:t>
      </w:r>
    </w:p>
    <w:p>
      <w:pPr>
        <w:spacing w:after="120" w:line="276"/>
      </w:pPr>
      <w:r>
        <w:rPr>
          <w:rFonts w:ascii="Calibri" w:cs="Calibri" w:eastAsia="Calibri" w:hAnsi="Calibri"/>
          <w:b/>
          <w:bCs/>
          <w:color w:val="1F1F1F"/>
          <w:sz w:val="20"/>
          <w:szCs w:val="20"/>
        </w:rPr>
        <w:t xml:space="preserve">So the structure is sound in principle. The load-bearing element is the fairness of the valuation</w:t>
      </w:r>
      <w:r>
        <w:rPr>
          <w:rFonts w:ascii="Calibri" w:cs="Calibri" w:eastAsia="Calibri" w:hAnsi="Calibri"/>
          <w:color w:val="1F1F1F"/>
          <w:sz w:val="20"/>
          <w:szCs w:val="20"/>
        </w:rPr>
        <w:t xml:space="preserve"> — which is exactly what was contested in Bock. And here: the valuer, failing agreement in five business days, is "the Lender’s auditor"; we pay that auditor’s fees; and the same auditor is the cl 18 arbiter of what we owe. The party enforcing chooses the valuer, we fund the valuer, and the valuer’s number is final. On Abstein reasoning (section 4.5) a binding determination authored by the creditor is vulnerable — and if the fair-value safeguard is illusory, the arrangement collapses back into a void pactum commissorium. That is a risk for them as much as us, which makes it a realistic ask.</w:t>
      </w:r>
    </w:p>
    <w:p>
      <w:pPr>
        <w:pBdr>
          <w:top w:val="single" w:color="A85A2E" w:sz="6" w:space="8"/>
          <w:left w:val="single" w:color="A85A2E" w:sz="6" w:space="8"/>
          <w:right w:val="single" w:color="A85A2E" w:sz="6" w:space="8"/>
        </w:pBdr>
        <w:shd w:fill="F5E9E0" w:color="auto" w:val="clear"/>
        <w:spacing w:after="40" w:before="120"/>
      </w:pPr>
      <w:r>
        <w:rPr>
          <w:rFonts w:ascii="Calibri" w:cs="Calibri" w:eastAsia="Calibri" w:hAnsi="Calibri"/>
          <w:b/>
          <w:bCs/>
          <w:color w:val="A85A2E"/>
          <w:sz w:val="16"/>
          <w:szCs w:val="16"/>
        </w:rPr>
        <w:t xml:space="preserve">ASK FOR</w:t>
      </w:r>
    </w:p>
    <w:p>
      <w:pPr>
        <w:pBdr>
          <w:left w:val="single" w:color="A85A2E" w:sz="6" w:space="8"/>
          <w:bottom w:val="single" w:color="A85A2E" w:sz="6" w:space="8"/>
          <w:right w:val="single" w:color="A85A2E" w:sz="6" w:space="8"/>
        </w:pBdr>
        <w:shd w:fill="F5E9E0" w:color="auto" w:val="clear"/>
        <w:spacing w:after="0" w:line="270"/>
      </w:pPr>
      <w:r>
        <w:rPr>
          <w:rFonts w:ascii="Calibri" w:cs="Calibri" w:eastAsia="Calibri" w:hAnsi="Calibri"/>
          <w:color w:val="1F1F1F"/>
          <w:sz w:val="20"/>
          <w:szCs w:val="20"/>
        </w:rPr>
        <w:t xml:space="preserve">An independent valuer jointly appointed, or nominated by the relevant professional body if agreement fails within 10 business days; costs shared; and a right for us to obtain and submit a counter-valuation.</w:t>
      </w:r>
    </w:p>
    <w:p>
      <w:pPr>
        <w:spacing w:after="140"/>
      </w:pPr>
      <w:r>
        <w:rPr>
          <w:rFonts w:ascii="Calibri" w:cs="Calibri" w:eastAsia="Calibri" w:hAnsi="Calibri"/>
          <w:color w:val="1F1F1F"/>
          <w:sz w:val="2"/>
          <w:szCs w:val="2"/>
        </w:rPr>
        <w:t xml:space="preserve"/>
      </w:r>
    </w:p>
    <w:p>
      <w:pPr>
        <w:pStyle w:val="Heading2"/>
        <w:spacing w:after="100" w:before="260"/>
      </w:pPr>
      <w:r>
        <w:rPr>
          <w:rFonts w:ascii="Calibri" w:cs="Calibri" w:eastAsia="Calibri" w:hAnsi="Calibri"/>
          <w:b/>
          <w:bCs/>
          <w:color w:val="1F1F1F"/>
          <w:sz w:val="23"/>
          <w:szCs w:val="23"/>
        </w:rPr>
        <w:t xml:space="preserve">5.7  Irrevocable power of attorney in rem suam to any director of the Lender  (cl 6.3)</w:t>
      </w:r>
    </w:p>
    <w:p>
      <w:pPr>
        <w:spacing w:after="120" w:line="276"/>
      </w:pPr>
      <w:r>
        <w:rPr>
          <w:rFonts w:ascii="Calibri" w:cs="Calibri" w:eastAsia="Calibri" w:hAnsi="Calibri"/>
          <w:b/>
          <w:bCs/>
          <w:color w:val="8A5A18"/>
          <w:sz w:val="15"/>
          <w:szCs w:val="15"/>
        </w:rPr>
        <w:t xml:space="preserve">  [PRESS HARD]  </w:t>
      </w:r>
    </w:p>
    <w:p>
      <w:pPr>
        <w:pBdr>
          <w:left w:val="single" w:color="A85A2E" w:sz="12" w:space="10"/>
        </w:pBdr>
        <w:shd w:fill="F5F2EE" w:color="auto" w:val="clear"/>
        <w:spacing w:after="40" w:before="110" w:line="270"/>
        <w:ind w:left="340"/>
      </w:pPr>
      <w:r>
        <w:rPr>
          <w:rFonts w:ascii="Calibri" w:cs="Calibri" w:eastAsia="Calibri" w:hAnsi="Calibri"/>
          <w:i/>
          <w:iCs/>
          <w:color w:val="3A342E"/>
          <w:sz w:val="20"/>
          <w:szCs w:val="20"/>
        </w:rPr>
        <w:t xml:space="preserve">The Borrower hereby irrevocably appoints any director of the Lender as its agent with power of attorney in rem suam to be its lawful attorney and agent, to sign all such documents and do all such things as may be necessary to give effect to this Agreement.</w:t>
      </w:r>
    </w:p>
    <w:p>
      <w:pPr>
        <w:spacing w:after="140"/>
        <w:ind w:left="340"/>
      </w:pPr>
      <w:r>
        <w:rPr>
          <w:rFonts w:ascii="Calibri" w:cs="Calibri" w:eastAsia="Calibri" w:hAnsi="Calibri"/>
          <w:b/>
          <w:bCs/>
          <w:color w:val="666057"/>
          <w:sz w:val="16"/>
          <w:szCs w:val="16"/>
        </w:rPr>
        <w:t xml:space="preserve">Pledge cl 6.3</w:t>
      </w:r>
    </w:p>
    <w:p>
      <w:pPr>
        <w:spacing w:after="120" w:line="276"/>
      </w:pPr>
      <w:r>
        <w:rPr>
          <w:rFonts w:ascii="Calibri" w:cs="Calibri" w:eastAsia="Calibri" w:hAnsi="Calibri"/>
          <w:color w:val="1F1F1F"/>
          <w:sz w:val="20"/>
          <w:szCs w:val="20"/>
        </w:rPr>
        <w:t xml:space="preserve">Unlimited in subject matter, unlimited in time, irrevocable, exercisable before any default, and held by any director. It would let a Plane Tree director sign documents in Tyron’s own name.</w:t>
      </w:r>
    </w:p>
    <w:p>
      <w:pPr>
        <w:spacing w:after="120" w:line="276"/>
      </w:pPr>
      <w:r>
        <w:rPr>
          <w:rFonts w:ascii="Calibri" w:cs="Calibri" w:eastAsia="Calibri" w:hAnsi="Calibri"/>
          <w:b/>
          <w:bCs/>
          <w:color w:val="1F1F1F"/>
          <w:sz w:val="20"/>
          <w:szCs w:val="20"/>
        </w:rPr>
        <w:t xml:space="preserve">This is not merely aggressive — on current SCA authority it is likely unlawful. </w:t>
      </w:r>
      <w:r>
        <w:rPr>
          <w:rFonts w:ascii="Calibri" w:cs="Calibri" w:eastAsia="Calibri" w:hAnsi="Calibri"/>
          <w:color w:val="1F1F1F"/>
          <w:sz w:val="20"/>
          <w:szCs w:val="20"/>
        </w:rPr>
        <w:t xml:space="preserve">In </w:t>
      </w:r>
      <w:r>
        <w:rPr>
          <w:rFonts w:ascii="Calibri" w:cs="Calibri" w:eastAsia="Calibri" w:hAnsi="Calibri"/>
          <w:i/>
          <w:iCs/>
          <w:color w:val="1F1F1F"/>
          <w:sz w:val="20"/>
          <w:szCs w:val="20"/>
        </w:rPr>
        <w:t xml:space="preserve">Absa Bank Ltd v Serfontein</w:t>
      </w:r>
      <w:r>
        <w:rPr>
          <w:rFonts w:ascii="Calibri" w:cs="Calibri" w:eastAsia="Calibri" w:hAnsi="Calibri"/>
          <w:color w:val="1F1F1F"/>
          <w:sz w:val="20"/>
          <w:szCs w:val="20"/>
        </w:rPr>
        <w:t xml:space="preserve"> (SCA, 10 February 2025) an acknowledgement of debt incorporating a power of attorney, giving the bank an irrevocable ability to execute without recourse to court, was held to fall within s90(2)(k) and s90(2)(j), with the NCA-exclusion element contravening s90(2)(a)(i). The provisions were held unseverable; the agreement was declared unlawful and the resulting sale void from the outset. An in rem suam power of attorney is by definition irrevocable and in the grantee’s own interest, which aggravates rather than cures the problem. (Citation to be confirmed — see section 9.3.)</w:t>
      </w:r>
    </w:p>
    <w:p>
      <w:pPr>
        <w:pBdr>
          <w:top w:val="single" w:color="A85A2E" w:sz="6" w:space="8"/>
          <w:left w:val="single" w:color="A85A2E" w:sz="6" w:space="8"/>
          <w:right w:val="single" w:color="A85A2E" w:sz="6" w:space="8"/>
        </w:pBdr>
        <w:shd w:fill="F5E9E0" w:color="auto" w:val="clear"/>
        <w:spacing w:after="40" w:before="120"/>
      </w:pPr>
      <w:r>
        <w:rPr>
          <w:rFonts w:ascii="Calibri" w:cs="Calibri" w:eastAsia="Calibri" w:hAnsi="Calibri"/>
          <w:b/>
          <w:bCs/>
          <w:color w:val="A85A2E"/>
          <w:sz w:val="16"/>
          <w:szCs w:val="16"/>
        </w:rPr>
        <w:t xml:space="preserve">ASK FOR</w:t>
      </w:r>
    </w:p>
    <w:p>
      <w:pPr>
        <w:pBdr>
          <w:left w:val="single" w:color="A85A2E" w:sz="6" w:space="8"/>
          <w:bottom w:val="single" w:color="A85A2E" w:sz="6" w:space="8"/>
          <w:right w:val="single" w:color="A85A2E" w:sz="6" w:space="8"/>
        </w:pBdr>
        <w:shd w:fill="F5E9E0" w:color="auto" w:val="clear"/>
        <w:spacing w:after="0" w:line="270"/>
      </w:pPr>
      <w:r>
        <w:rPr>
          <w:rFonts w:ascii="Calibri" w:cs="Calibri" w:eastAsia="Calibri" w:hAnsi="Calibri"/>
          <w:color w:val="1F1F1F"/>
          <w:sz w:val="20"/>
          <w:szCs w:val="20"/>
        </w:rPr>
        <w:t xml:space="preserve">Exercisable only after an Event of Default that is continuing; confined to specified perfection and transfer documents we have already failed to sign within 5 business days of written request; written notice of each exercise. And put the s90(2)(j)/(k) point to them — a compliance-conscious registered credit provider will drop this rather than defend it.</w:t>
      </w:r>
    </w:p>
    <w:p>
      <w:pPr>
        <w:spacing w:after="140"/>
      </w:pPr>
      <w:r>
        <w:rPr>
          <w:rFonts w:ascii="Calibri" w:cs="Calibri" w:eastAsia="Calibri" w:hAnsi="Calibri"/>
          <w:color w:val="1F1F1F"/>
          <w:sz w:val="2"/>
          <w:szCs w:val="2"/>
        </w:rPr>
        <w:t xml:space="preserve"/>
      </w:r>
    </w:p>
    <w:p>
      <w:pPr>
        <w:pStyle w:val="Heading2"/>
        <w:spacing w:after="100" w:before="260"/>
      </w:pPr>
      <w:r>
        <w:rPr>
          <w:rFonts w:ascii="Calibri" w:cs="Calibri" w:eastAsia="Calibri" w:hAnsi="Calibri"/>
          <w:b/>
          <w:bCs/>
          <w:color w:val="1F1F1F"/>
          <w:sz w:val="23"/>
          <w:szCs w:val="23"/>
        </w:rPr>
        <w:t xml:space="preserve">5.8  Warranties that cannot be kept, behind an uncapped indemnity  (cl 7.1)</w:t>
      </w:r>
    </w:p>
    <w:p>
      <w:pPr>
        <w:spacing w:after="120" w:line="276"/>
      </w:pPr>
      <w:r>
        <w:rPr>
          <w:rFonts w:ascii="Calibri" w:cs="Calibri" w:eastAsia="Calibri" w:hAnsi="Calibri"/>
          <w:b/>
          <w:bCs/>
          <w:color w:val="8A5A18"/>
          <w:sz w:val="15"/>
          <w:szCs w:val="15"/>
        </w:rPr>
        <w:t xml:space="preserve">  [PRESS HARD]  </w:t>
      </w:r>
    </w:p>
    <w:tbl>
      <w:tblPr>
        <w:tblW w:type="dxa" w:w="9026"/>
        <w:tblBorders>
          <w:top w:val="single" w:color="D8D2CA" w:sz="4"/>
          <w:left w:val="single" w:color="D8D2CA" w:sz="4"/>
          <w:bottom w:val="single" w:color="D8D2CA" w:sz="4"/>
          <w:right w:val="single" w:color="D8D2CA" w:sz="4"/>
          <w:insideH w:val="single" w:color="D8D2CA" w:sz="4"/>
          <w:insideV w:val="single" w:color="D8D2CA" w:sz="4"/>
        </w:tblBorders>
      </w:tblPr>
      <w:tblGrid>
        <w:gridCol w:w="1100"/>
        <w:gridCol w:w="3400"/>
        <w:gridCol w:w="4526"/>
      </w:tblGrid>
      <w:tr>
        <w:trPr>
          <w:tblHeader/>
        </w:trPr>
        <w:tc>
          <w:tcPr>
            <w:tcW w:type="dxa" w:w="1100"/>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Clause</w:t>
            </w:r>
          </w:p>
        </w:tc>
        <w:tc>
          <w:tcPr>
            <w:tcW w:type="dxa" w:w="3400"/>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Warranty</w:t>
            </w:r>
          </w:p>
        </w:tc>
        <w:tc>
          <w:tcPr>
            <w:tcW w:type="dxa" w:w="4526"/>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Problem</w:t>
            </w:r>
          </w:p>
        </w:tc>
      </w:tr>
      <w:tr>
        <w:trPr>
          <w:tblHeader w:val="false"/>
        </w:trPr>
        <w:tc>
          <w:tcPr>
            <w:tcW w:type="dxa" w:w="11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7.1.6</w:t>
            </w:r>
          </w:p>
        </w:tc>
        <w:tc>
          <w:tcPr>
            <w:tcW w:type="dxa" w:w="3400"/>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Ceded Claims are "valid, enforceable, and free from dispute… no existing or threatened claims, set-offs, counterclaims, defences"</w:t>
            </w:r>
          </w:p>
        </w:tc>
        <w:tc>
          <w:tcPr>
            <w:tcW w:type="dxa" w:w="45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The Ceded Claims include all future book debts. Nobody can warrant that no future customer will ever dispute an invoice. Every disputed invoice is a breach, then a default, then acceleration. Qualify to "so far as the Borrower is aware, as at Signature Date", limited to material claims.</w:t>
            </w:r>
          </w:p>
        </w:tc>
      </w:tr>
      <w:tr>
        <w:trPr>
          <w:tblHeader w:val="false"/>
        </w:trPr>
        <w:tc>
          <w:tcPr>
            <w:tcW w:type="dxa" w:w="11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7.1.1 / 7.1.2</w:t>
            </w:r>
          </w:p>
        </w:tc>
        <w:tc>
          <w:tcPr>
            <w:tcW w:type="dxa" w:w="3400"/>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Sole and lawful owner; nothing previously encumbered</w:t>
            </w:r>
          </w:p>
        </w:tc>
        <w:tc>
          <w:tcPr>
            <w:tcW w:type="dxa" w:w="45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Must be verified before signature. If the Amarok or the CAT is under an instalment-sale or bank finance agreement, this warranty is false on day one and exposes Tyron to a misrepresentation claim, not just a breach.</w:t>
            </w:r>
          </w:p>
        </w:tc>
      </w:tr>
      <w:tr>
        <w:trPr>
          <w:tblHeader w:val="false"/>
        </w:trPr>
        <w:tc>
          <w:tcPr>
            <w:tcW w:type="dxa" w:w="11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7.1.8</w:t>
            </w:r>
          </w:p>
        </w:tc>
        <w:tc>
          <w:tcPr>
            <w:tcW w:type="dxa" w:w="3400"/>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All Pledged Property "complies and will comply with all applicable laws, licensing… health and safety… storage and transport requirements"</w:t>
            </w:r>
          </w:p>
        </w:tc>
        <w:tc>
          <w:tcPr>
            <w:tcW w:type="dxa" w:w="45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An absolute, forward-looking regulatory warranty over an 800 kW induction furnace and heavy plant. Qualify to "in all material respects, so far as the Borrower is aware".</w:t>
            </w:r>
          </w:p>
        </w:tc>
      </w:tr>
      <w:tr>
        <w:trPr>
          <w:tblHeader w:val="false"/>
        </w:trPr>
        <w:tc>
          <w:tcPr>
            <w:tcW w:type="dxa" w:w="11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7.1.11</w:t>
            </w:r>
          </w:p>
        </w:tc>
        <w:tc>
          <w:tcPr>
            <w:tcW w:type="dxa" w:w="3400"/>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Indemnity for any loss from breach of any of the above</w:t>
            </w:r>
          </w:p>
        </w:tc>
        <w:tc>
          <w:tcPr>
            <w:tcW w:type="dxa" w:w="45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Uncapped, and sits on top of impossible warranties — potential liability well beyond R2.4m. Cap at the Aggregate Debt; exclude consequential loss; carve out Plane Tree’s own negligence.</w:t>
            </w:r>
          </w:p>
        </w:tc>
      </w:tr>
    </w:tbl>
    <w:p>
      <w:pPr>
        <w:spacing w:after="120" w:line="276"/>
      </w:pPr>
      <w:r>
        <w:rPr>
          <w:rFonts w:ascii="Calibri" w:cs="Calibri" w:eastAsia="Calibri" w:hAnsi="Calibri"/>
          <w:color w:val="1F1F1F"/>
          <w:sz w:val="20"/>
          <w:szCs w:val="20"/>
        </w:rPr>
        <w:t xml:space="preserve">Note the internal contradiction: cl 4.7 contemplates that some Secured Property may already be encumbered (and cedes the reversionary interest), while cl 7.1.2 warrants that none of it is. They can rely on whichever suits them. Make cl 7.1.2 expressly subject to a disclosure schedule.</w:t>
      </w:r>
    </w:p>
    <w:p>
      <w:pPr>
        <w:pStyle w:val="Heading2"/>
        <w:spacing w:after="100" w:before="260"/>
      </w:pPr>
      <w:r>
        <w:rPr>
          <w:rFonts w:ascii="Calibri" w:cs="Calibri" w:eastAsia="Calibri" w:hAnsi="Calibri"/>
          <w:b/>
          <w:bCs/>
          <w:color w:val="1F1F1F"/>
          <w:sz w:val="23"/>
          <w:szCs w:val="23"/>
        </w:rPr>
        <w:t xml:space="preserve">5.9  We must deliver a third party’s signature within 7 days  (cl 4.3, Annexure A)</w:t>
      </w:r>
    </w:p>
    <w:p>
      <w:pPr>
        <w:spacing w:after="120" w:line="276"/>
      </w:pPr>
      <w:r>
        <w:rPr>
          <w:rFonts w:ascii="Calibri" w:cs="Calibri" w:eastAsia="Calibri" w:hAnsi="Calibri"/>
          <w:b/>
          <w:bCs/>
          <w:color w:val="8A5A18"/>
          <w:sz w:val="15"/>
          <w:szCs w:val="15"/>
        </w:rPr>
        <w:t xml:space="preserve">  [PRESS HARD]  </w:t>
      </w:r>
      <w:r>
        <w:rPr>
          <w:rFonts w:ascii="Calibri" w:cs="Calibri" w:eastAsia="Calibri" w:hAnsi="Calibri"/>
          <w:color w:val="1F1F1F"/>
          <w:sz w:val="20"/>
          <w:szCs w:val="20"/>
        </w:rPr>
        <w:t xml:space="preserve"> cl 4.3 obliges us to procure that Mila De Jongh, Megan De Jongh, Liam Daniel De Jongh and Andries Jacobus Nel sign the Annexure A acknowledgement within 7 days of signature. They are not parties to this agreement and are perfectly entitled to refuse. If they refuse, we breach the Pledge, which is an Event of Default under the Loan, which accelerates R2.4m. We are being made to guarantee the conduct of people we do not control — and Annexure A also records that "the Borrower shall retain any obligations to the Purchasers": we keep the burden of that share sale and lose the benefit.</w:t>
      </w:r>
    </w:p>
    <w:p>
      <w:pPr>
        <w:pBdr>
          <w:top w:val="single" w:color="A85A2E" w:sz="6" w:space="8"/>
          <w:left w:val="single" w:color="A85A2E" w:sz="6" w:space="8"/>
          <w:right w:val="single" w:color="A85A2E" w:sz="6" w:space="8"/>
        </w:pBdr>
        <w:shd w:fill="F5E9E0" w:color="auto" w:val="clear"/>
        <w:spacing w:after="40" w:before="120"/>
      </w:pPr>
      <w:r>
        <w:rPr>
          <w:rFonts w:ascii="Calibri" w:cs="Calibri" w:eastAsia="Calibri" w:hAnsi="Calibri"/>
          <w:b/>
          <w:bCs/>
          <w:color w:val="A85A2E"/>
          <w:sz w:val="16"/>
          <w:szCs w:val="16"/>
        </w:rPr>
        <w:t xml:space="preserve">ASK FOR</w:t>
      </w:r>
    </w:p>
    <w:p>
      <w:pPr>
        <w:pBdr>
          <w:left w:val="single" w:color="A85A2E" w:sz="6" w:space="8"/>
          <w:bottom w:val="single" w:color="A85A2E" w:sz="6" w:space="8"/>
          <w:right w:val="single" w:color="A85A2E" w:sz="6" w:space="8"/>
        </w:pBdr>
        <w:shd w:fill="F5E9E0" w:color="auto" w:val="clear"/>
        <w:spacing w:after="0" w:line="270"/>
      </w:pPr>
      <w:r>
        <w:rPr>
          <w:rFonts w:ascii="Calibri" w:cs="Calibri" w:eastAsia="Calibri" w:hAnsi="Calibri"/>
          <w:color w:val="1F1F1F"/>
          <w:sz w:val="20"/>
          <w:szCs w:val="20"/>
        </w:rPr>
        <w:t xml:space="preserve">Reduce to "use reasonable endeavours to procure", extend to 20 business days, and state expressly that failure of the Purchasers to sign is not an Event of Default (their refusal may, at most, entitle Plane Tree to require substitute security).</w:t>
      </w:r>
    </w:p>
    <w:p>
      <w:pPr>
        <w:spacing w:after="140"/>
      </w:pPr>
      <w:r>
        <w:rPr>
          <w:rFonts w:ascii="Calibri" w:cs="Calibri" w:eastAsia="Calibri" w:hAnsi="Calibri"/>
          <w:color w:val="1F1F1F"/>
          <w:sz w:val="2"/>
          <w:szCs w:val="2"/>
        </w:rPr>
        <w:t xml:space="preserve"/>
      </w:r>
    </w:p>
    <w:p>
      <w:pPr>
        <w:pStyle w:val="Heading2"/>
        <w:spacing w:after="100" w:before="260"/>
      </w:pPr>
      <w:r>
        <w:rPr>
          <w:rFonts w:ascii="Calibri" w:cs="Calibri" w:eastAsia="Calibri" w:hAnsi="Calibri"/>
          <w:b/>
          <w:bCs/>
          <w:color w:val="1F1F1F"/>
          <w:sz w:val="23"/>
          <w:szCs w:val="23"/>
        </w:rPr>
        <w:t xml:space="preserve">5.10  No release mechanism on repayment</w:t>
      </w:r>
    </w:p>
    <w:p>
      <w:pPr>
        <w:spacing w:after="120" w:line="276"/>
      </w:pPr>
      <w:r>
        <w:rPr>
          <w:rFonts w:ascii="Calibri" w:cs="Calibri" w:eastAsia="Calibri" w:hAnsi="Calibri"/>
          <w:b/>
          <w:bCs/>
          <w:color w:val="A32E2E"/>
          <w:sz w:val="15"/>
          <w:szCs w:val="15"/>
        </w:rPr>
        <w:t xml:space="preserve">  [MUST CHANGE]  </w:t>
      </w:r>
      <w:r>
        <w:rPr>
          <w:rFonts w:ascii="Calibri" w:cs="Calibri" w:eastAsia="Calibri" w:hAnsi="Calibri"/>
          <w:color w:val="1F1F1F"/>
          <w:sz w:val="20"/>
          <w:szCs w:val="20"/>
        </w:rPr>
        <w:t xml:space="preserve"> There is no clause obliging Plane Tree, once the debt is paid, to release the security, cancel the cession, re-cede the ceded claims and return NATIS documents and documents of title. cl 4.9 makes the agreement run "until the Lender confirms in writing" — which puts the trigger entirely in their hands, with no deadline and no obligation to act. Long term, this is how a settled facility leaves a lingering encumbrance across an entire estate.</w:t>
      </w:r>
    </w:p>
    <w:p>
      <w:pPr>
        <w:pBdr>
          <w:top w:val="single" w:color="A32E2E" w:sz="6" w:space="8"/>
          <w:left w:val="single" w:color="A32E2E" w:sz="6" w:space="8"/>
          <w:right w:val="single" w:color="A32E2E" w:sz="6" w:space="8"/>
        </w:pBdr>
        <w:shd w:fill="F8E9E7" w:color="auto" w:val="clear"/>
        <w:spacing w:after="40" w:before="120"/>
      </w:pPr>
      <w:r>
        <w:rPr>
          <w:rFonts w:ascii="Calibri" w:cs="Calibri" w:eastAsia="Calibri" w:hAnsi="Calibri"/>
          <w:b/>
          <w:bCs/>
          <w:color w:val="A32E2E"/>
          <w:sz w:val="16"/>
          <w:szCs w:val="16"/>
        </w:rPr>
        <w:t xml:space="preserve">ASK FOR — NON-NEGOTIABLE</w:t>
      </w:r>
    </w:p>
    <w:p>
      <w:pPr>
        <w:pBdr>
          <w:left w:val="single" w:color="A32E2E" w:sz="6" w:space="8"/>
          <w:bottom w:val="single" w:color="A32E2E" w:sz="6" w:space="8"/>
          <w:right w:val="single" w:color="A32E2E" w:sz="6" w:space="8"/>
        </w:pBdr>
        <w:shd w:fill="F8E9E7" w:color="auto" w:val="clear"/>
        <w:spacing w:after="0" w:line="270"/>
      </w:pPr>
      <w:r>
        <w:rPr>
          <w:rFonts w:ascii="Calibri" w:cs="Calibri" w:eastAsia="Calibri" w:hAnsi="Calibri"/>
          <w:color w:val="1F1F1F"/>
          <w:sz w:val="20"/>
          <w:szCs w:val="20"/>
        </w:rPr>
        <w:t xml:space="preserve">"Within 10 business days of the Secured Obligations being discharged in full, the Lender shall, at its own cost, deliver to the Borrower a written release and cancellation of this Agreement, re-cede to the Borrower all Ceded Claims, release all Pledged Property, and return all documents of title, NATIS documents and other documents delivered to it under this Agreement."</w:t>
      </w:r>
    </w:p>
    <w:p>
      <w:pPr>
        <w:spacing w:after="140"/>
      </w:pPr>
      <w:r>
        <w:rPr>
          <w:rFonts w:ascii="Calibri" w:cs="Calibri" w:eastAsia="Calibri" w:hAnsi="Calibri"/>
          <w:color w:val="1F1F1F"/>
          <w:sz w:val="2"/>
          <w:szCs w:val="2"/>
        </w:rPr>
        <w:t xml:space="preserve"/>
      </w:r>
    </w:p>
    <w:p>
      <w:pPr>
        <w:pStyle w:val="Heading2"/>
        <w:spacing w:after="100" w:before="260"/>
      </w:pPr>
      <w:r>
        <w:rPr>
          <w:rFonts w:ascii="Calibri" w:cs="Calibri" w:eastAsia="Calibri" w:hAnsi="Calibri"/>
          <w:b/>
          <w:bCs/>
          <w:color w:val="1F1F1F"/>
          <w:sz w:val="23"/>
          <w:szCs w:val="23"/>
        </w:rPr>
        <w:t xml:space="preserve">5.11  Two more worth raising</w:t>
      </w:r>
    </w:p>
    <w:p>
      <w:pPr>
        <w:spacing w:after="120" w:line="276"/>
      </w:pPr>
      <w:r>
        <w:rPr>
          <w:rFonts w:ascii="Calibri" w:cs="Calibri" w:eastAsia="Calibri" w:hAnsi="Calibri"/>
          <w:b/>
          <w:bCs/>
          <w:color w:val="4F6138"/>
          <w:sz w:val="15"/>
          <w:szCs w:val="15"/>
        </w:rPr>
        <w:t xml:space="preserve">  [RAISE &amp; TRADE]  </w:t>
      </w:r>
    </w:p>
    <w:p>
      <w:pPr>
        <w:pStyle w:val="ListParagraph"/>
        <w:numPr>
          <w:ilvl w:val="0"/>
          <w:numId w:val="3"/>
        </w:numPr>
        <w:spacing w:after="70" w:line="270"/>
      </w:pPr>
      <w:r>
        <w:rPr>
          <w:rFonts w:ascii="Calibri" w:cs="Calibri" w:eastAsia="Calibri" w:hAnsi="Calibri"/>
          <w:b/>
          <w:bCs/>
          <w:color w:val="1F1F1F"/>
          <w:sz w:val="20"/>
          <w:szCs w:val="20"/>
        </w:rPr>
        <w:t xml:space="preserve">No representations outside the document — including negligent ones (cl 12.4). </w:t>
      </w:r>
      <w:r>
        <w:rPr>
          <w:rFonts w:ascii="Calibri" w:cs="Calibri" w:eastAsia="Calibri" w:hAnsi="Calibri"/>
          <w:color w:val="1F1F1F"/>
          <w:sz w:val="20"/>
          <w:szCs w:val="20"/>
        </w:rPr>
        <w:t xml:space="preserve">Neither party is bound by any representation not recorded in the agreement, "irrespective of whether the representation induced the Parties to conclude the Agreement and irrespective of whether it was made negligently or not". This kills any claim based on what Plane Tree told us verbally about flexibility on the balloon or the availability of refinance. Ask for fraudulent and reckless misrepresentation to be carved out expressly.</w:t>
      </w:r>
    </w:p>
    <w:p>
      <w:pPr>
        <w:pStyle w:val="ListParagraph"/>
        <w:numPr>
          <w:ilvl w:val="0"/>
          <w:numId w:val="3"/>
        </w:numPr>
        <w:spacing w:after="70" w:line="270"/>
      </w:pPr>
      <w:r>
        <w:rPr>
          <w:rFonts w:ascii="Calibri" w:cs="Calibri" w:eastAsia="Calibri" w:hAnsi="Calibri"/>
          <w:b/>
          <w:bCs/>
          <w:color w:val="1F1F1F"/>
          <w:sz w:val="20"/>
          <w:szCs w:val="20"/>
        </w:rPr>
        <w:t xml:space="preserve">Continuing security survives Plane Tree’s own failures (cl 4.10). </w:t>
      </w:r>
      <w:r>
        <w:rPr>
          <w:rFonts w:ascii="Calibri" w:cs="Calibri" w:eastAsia="Calibri" w:hAnsi="Calibri"/>
          <w:color w:val="1F1F1F"/>
          <w:sz w:val="20"/>
          <w:szCs w:val="20"/>
        </w:rPr>
        <w:t xml:space="preserve">The security survives "the Lender failing to procure or perfect any other form of collateral", "abandoning, terminating or releasing any other form of collateral", and "any other action or omission on the part of the Lender… which might prejudice or adversely affect the rights of the Borrower". Standard in bank documents, but press for a carve-out for gross negligence or wilful misconduct.</w:t>
      </w:r>
    </w:p>
    <w:p>
      <w:pPr>
        <w:pStyle w:val="ListParagraph"/>
        <w:numPr>
          <w:ilvl w:val="0"/>
          <w:numId w:val="3"/>
        </w:numPr>
        <w:spacing w:after="70" w:line="270"/>
      </w:pPr>
      <w:r>
        <w:rPr>
          <w:rFonts w:ascii="Calibri" w:cs="Calibri" w:eastAsia="Calibri" w:hAnsi="Calibri"/>
          <w:b/>
          <w:bCs/>
          <w:color w:val="1F1F1F"/>
          <w:sz w:val="20"/>
          <w:szCs w:val="20"/>
        </w:rPr>
        <w:t xml:space="preserve">Set-off (cl 8.6.2, and Pledge cl 6.1.6). </w:t>
      </w:r>
      <w:r>
        <w:rPr>
          <w:rFonts w:ascii="Calibri" w:cs="Calibri" w:eastAsia="Calibri" w:hAnsi="Calibri"/>
          <w:color w:val="1F1F1F"/>
          <w:sz w:val="20"/>
          <w:szCs w:val="20"/>
        </w:rPr>
        <w:t xml:space="preserve">On </w:t>
      </w:r>
      <w:r>
        <w:rPr>
          <w:rFonts w:ascii="Calibri" w:cs="Calibri" w:eastAsia="Calibri" w:hAnsi="Calibri"/>
          <w:i/>
          <w:iCs/>
          <w:color w:val="1F1F1F"/>
          <w:sz w:val="20"/>
          <w:szCs w:val="20"/>
        </w:rPr>
        <w:t xml:space="preserve">NCR v Standard Bank</w:t>
      </w:r>
      <w:r>
        <w:rPr>
          <w:rFonts w:ascii="Calibri" w:cs="Calibri" w:eastAsia="Calibri" w:hAnsi="Calibri"/>
          <w:color w:val="1F1F1F"/>
          <w:sz w:val="20"/>
          <w:szCs w:val="20"/>
        </w:rPr>
        <w:t xml:space="preserve"> [2019] ZAGPJHC 182 the common-law right of set-off does not apply to NCA credit agreements at all — ss90(2)(n) and 124 displace it. So the waiver is largely inert, and a clause conferring set-off on the credit provider would be unlawful.</w:t>
      </w:r>
    </w:p>
    <w:p>
      <w:r>
        <w:br w:type="page"/>
      </w:r>
    </w:p>
    <w:p>
      <w:pPr>
        <w:pStyle w:val="Heading1"/>
        <w:pBdr>
          <w:bottom w:val="single" w:color="A85A2E" w:sz="6" w:space="6"/>
        </w:pBdr>
        <w:spacing w:after="160" w:before="400"/>
      </w:pPr>
      <w:r>
        <w:rPr>
          <w:rFonts w:ascii="Calibri" w:cs="Calibri" w:eastAsia="Calibri" w:hAnsi="Calibri"/>
          <w:b/>
          <w:bCs/>
          <w:color w:val="1F1F1F"/>
          <w:sz w:val="30"/>
          <w:szCs w:val="30"/>
        </w:rPr>
        <w:t xml:space="preserve">6.  Errors, blanks and things to verify before signature</w:t>
      </w:r>
    </w:p>
    <w:p>
      <w:pPr>
        <w:pStyle w:val="Heading2"/>
        <w:spacing w:after="100" w:before="260"/>
      </w:pPr>
      <w:r>
        <w:rPr>
          <w:rFonts w:ascii="Calibri" w:cs="Calibri" w:eastAsia="Calibri" w:hAnsi="Calibri"/>
          <w:b/>
          <w:bCs/>
          <w:color w:val="1F1F1F"/>
          <w:sz w:val="23"/>
          <w:szCs w:val="23"/>
        </w:rPr>
        <w:t xml:space="preserve">Factual errors — these matter, because we warrant their accuracy</w:t>
      </w:r>
    </w:p>
    <w:tbl>
      <w:tblPr>
        <w:tblW w:type="dxa" w:w="9026"/>
        <w:tblBorders>
          <w:top w:val="single" w:color="D8D2CA" w:sz="4"/>
          <w:left w:val="single" w:color="D8D2CA" w:sz="4"/>
          <w:bottom w:val="single" w:color="D8D2CA" w:sz="4"/>
          <w:right w:val="single" w:color="D8D2CA" w:sz="4"/>
          <w:insideH w:val="single" w:color="D8D2CA" w:sz="4"/>
          <w:insideV w:val="single" w:color="D8D2CA" w:sz="4"/>
        </w:tblBorders>
      </w:tblPr>
      <w:tblGrid>
        <w:gridCol w:w="6026"/>
        <w:gridCol w:w="3000"/>
      </w:tblGrid>
      <w:tr>
        <w:trPr>
          <w:tblHeader/>
        </w:trPr>
        <w:tc>
          <w:tcPr>
            <w:tcW w:type="dxa" w:w="6026"/>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Issue</w:t>
            </w:r>
          </w:p>
        </w:tc>
        <w:tc>
          <w:tcPr>
            <w:tcW w:type="dxa" w:w="3000"/>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Where</w:t>
            </w:r>
          </w:p>
        </w:tc>
      </w:tr>
      <w:tr>
        <w:trPr>
          <w:tblHeader w:val="false"/>
        </w:trPr>
        <w:tc>
          <w:tcPr>
            <w:tcW w:type="dxa" w:w="60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The Amarok has two different registration numbers. Loan cl 5.1.4.1.1 and Pledge cl 1.1.10.1 say HKK160K; Annexure B says HT22DTGP. Same VIN (WV1ZZZ2HZJA047809). One is wrong. A misdescribed asset weakens the pledge and breaches our accuracy warranty — and would defeat a special notarial bond on Ikea Trading.</w:t>
            </w:r>
          </w:p>
        </w:tc>
        <w:tc>
          <w:tcPr>
            <w:tcW w:type="dxa" w:w="30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Loan cl 5.1.4.1.1; Pledge cl 1.1.10.1 and Annexure B</w:t>
            </w:r>
          </w:p>
        </w:tc>
      </w:tr>
      <w:tr>
        <w:trPr>
          <w:tblHeader w:val="false"/>
        </w:trPr>
        <w:tc>
          <w:tcPr>
            <w:tcW w:type="dxa" w:w="60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The furnace is described as "(brand new)" but also "Purchased Jan 2022". Inconsistent — and four years of depreciation is material to its value as security.</w:t>
            </w:r>
          </w:p>
        </w:tc>
        <w:tc>
          <w:tcPr>
            <w:tcW w:type="dxa" w:w="30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Annexure B</w:t>
            </w:r>
          </w:p>
        </w:tc>
      </w:tr>
      <w:tr>
        <w:trPr>
          <w:tblHeader w:val="false"/>
        </w:trPr>
        <w:tc>
          <w:tcPr>
            <w:tcW w:type="dxa" w:w="60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"the Purchasers Nel" — stray word, appears three times.</w:t>
            </w:r>
          </w:p>
        </w:tc>
        <w:tc>
          <w:tcPr>
            <w:tcW w:type="dxa" w:w="30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Annexure A</w:t>
            </w:r>
          </w:p>
        </w:tc>
      </w:tr>
      <w:tr>
        <w:trPr>
          <w:tblHeader w:val="false"/>
        </w:trPr>
        <w:tc>
          <w:tcPr>
            <w:tcW w:type="dxa" w:w="60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"the terms of this Agreement are in plan language" — should be "plain". Ironic in a clause designed to defeat a plain-language challenge.</w:t>
            </w:r>
          </w:p>
        </w:tc>
        <w:tc>
          <w:tcPr>
            <w:tcW w:type="dxa" w:w="30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Loan cl 12.1.4</w:t>
            </w:r>
          </w:p>
        </w:tc>
      </w:tr>
      <w:tr>
        <w:trPr>
          <w:tblHeader w:val="false"/>
        </w:trPr>
        <w:tc>
          <w:tcPr>
            <w:tcW w:type="dxa" w:w="60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"determined by an the Lender’s auditor" and "pay such the Lender’s auditor’s charges" — broken grammar in the single most commercially significant clause of the Pledge.</w:t>
            </w:r>
          </w:p>
        </w:tc>
        <w:tc>
          <w:tcPr>
            <w:tcW w:type="dxa" w:w="30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Pledge cl 5.2.9</w:t>
            </w:r>
          </w:p>
        </w:tc>
      </w:tr>
      <w:tr>
        <w:trPr>
          <w:tblHeader w:val="false"/>
        </w:trPr>
        <w:tc>
          <w:tcPr>
            <w:tcW w:type="dxa" w:w="60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"sell, transfer, release, remove, redirect or otherwise dispose of any or all of the Secured Property,;" — stray punctuation.</w:t>
            </w:r>
          </w:p>
        </w:tc>
        <w:tc>
          <w:tcPr>
            <w:tcW w:type="dxa" w:w="30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Pledge cl 6.1.2</w:t>
            </w:r>
          </w:p>
        </w:tc>
      </w:tr>
      <w:tr>
        <w:trPr>
          <w:tblHeader w:val="false"/>
        </w:trPr>
        <w:tc>
          <w:tcPr>
            <w:tcW w:type="dxa" w:w="60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Refers to "any permitted debt expressly allowed in terms of this Agreement" — but the agreement contains no permitted-debt regime at all. Either add a schedule (useful to us) or delete.</w:t>
            </w:r>
          </w:p>
        </w:tc>
        <w:tc>
          <w:tcPr>
            <w:tcW w:type="dxa" w:w="30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Loan cl 6.4</w:t>
            </w:r>
          </w:p>
        </w:tc>
      </w:tr>
      <w:tr>
        <w:trPr>
          <w:tblHeader w:val="false"/>
        </w:trPr>
        <w:tc>
          <w:tcPr>
            <w:tcW w:type="dxa" w:w="60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Their comment 37 flags that clause 2.2(c) of the underlying Sale of Shares Agreement describes Tyron (the Seller) as selling Naomi Street and Pebble Creek, and assumes this is a typo for "Purchaser". We must confirm this against the actual signed agreement. If it is not a typo, the cession is describing rights that may not exist as assumed.</w:t>
            </w:r>
          </w:p>
        </w:tc>
        <w:tc>
          <w:tcPr>
            <w:tcW w:type="dxa" w:w="30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Loan cl 5.1.4.2</w:t>
            </w:r>
          </w:p>
        </w:tc>
      </w:tr>
    </w:tbl>
    <w:p>
      <w:pPr>
        <w:pStyle w:val="Heading2"/>
        <w:spacing w:after="100" w:before="260"/>
      </w:pPr>
      <w:r>
        <w:rPr>
          <w:rFonts w:ascii="Calibri" w:cs="Calibri" w:eastAsia="Calibri" w:hAnsi="Calibri"/>
          <w:b/>
          <w:bCs/>
          <w:color w:val="1F1F1F"/>
          <w:sz w:val="23"/>
          <w:szCs w:val="23"/>
        </w:rPr>
        <w:t xml:space="preserve">Blanks that must be completed before signature</w:t>
      </w:r>
    </w:p>
    <w:p>
      <w:pPr>
        <w:pStyle w:val="ListParagraph"/>
        <w:numPr>
          <w:ilvl w:val="0"/>
          <w:numId w:val="3"/>
        </w:numPr>
        <w:spacing w:after="70" w:line="270"/>
      </w:pPr>
      <w:r>
        <w:rPr>
          <w:rFonts w:ascii="Calibri" w:cs="Calibri" w:eastAsia="Calibri" w:hAnsi="Calibri"/>
          <w:color w:val="1F1F1F"/>
          <w:sz w:val="20"/>
          <w:szCs w:val="20"/>
        </w:rPr>
        <w:t xml:space="preserve">Borrower’s residential address, email address and bank account — both documents, and both domicilium tables</w:t>
      </w:r>
    </w:p>
    <w:p>
      <w:pPr>
        <w:pStyle w:val="ListParagraph"/>
        <w:numPr>
          <w:ilvl w:val="0"/>
          <w:numId w:val="3"/>
        </w:numPr>
        <w:spacing w:after="70" w:line="270"/>
      </w:pPr>
      <w:r>
        <w:rPr>
          <w:rFonts w:ascii="Calibri" w:cs="Calibri" w:eastAsia="Calibri" w:hAnsi="Calibri"/>
          <w:b/>
          <w:bCs/>
          <w:color w:val="1F1F1F"/>
          <w:sz w:val="20"/>
          <w:szCs w:val="20"/>
        </w:rPr>
        <w:t xml:space="preserve">TOTAL INTEREST, FEES AND CHARGES</w:t>
      </w:r>
      <w:r>
        <w:rPr>
          <w:rFonts w:ascii="Calibri" w:cs="Calibri" w:eastAsia="Calibri" w:hAnsi="Calibri"/>
          <w:color w:val="1F1F1F"/>
          <w:sz w:val="20"/>
          <w:szCs w:val="20"/>
        </w:rPr>
        <w:t xml:space="preserve"> — R[●], Loan Cost of Credit table</w:t>
      </w:r>
    </w:p>
    <w:p>
      <w:pPr>
        <w:pStyle w:val="ListParagraph"/>
        <w:numPr>
          <w:ilvl w:val="0"/>
          <w:numId w:val="3"/>
        </w:numPr>
        <w:spacing w:after="70" w:line="270"/>
      </w:pPr>
      <w:r>
        <w:rPr>
          <w:rFonts w:ascii="Calibri" w:cs="Calibri" w:eastAsia="Calibri" w:hAnsi="Calibri"/>
          <w:b/>
          <w:bCs/>
          <w:color w:val="1F1F1F"/>
          <w:sz w:val="20"/>
          <w:szCs w:val="20"/>
        </w:rPr>
        <w:t xml:space="preserve">TOTAL COST OF CREDIT</w:t>
      </w:r>
      <w:r>
        <w:rPr>
          <w:rFonts w:ascii="Calibri" w:cs="Calibri" w:eastAsia="Calibri" w:hAnsi="Calibri"/>
          <w:color w:val="1F1F1F"/>
          <w:sz w:val="20"/>
          <w:szCs w:val="20"/>
        </w:rPr>
        <w:t xml:space="preserve"> — R[●], Loan Cost of Credit table</w:t>
      </w:r>
    </w:p>
    <w:p>
      <w:pPr>
        <w:pStyle w:val="ListParagraph"/>
        <w:numPr>
          <w:ilvl w:val="0"/>
          <w:numId w:val="3"/>
        </w:numPr>
        <w:spacing w:after="70" w:line="270"/>
      </w:pPr>
      <w:r>
        <w:rPr>
          <w:rFonts w:ascii="Calibri" w:cs="Calibri" w:eastAsia="Calibri" w:hAnsi="Calibri"/>
          <w:color w:val="1F1F1F"/>
          <w:sz w:val="20"/>
          <w:szCs w:val="20"/>
        </w:rPr>
        <w:t xml:space="preserve">Lender’s complaints telephone number and complaints email — Loan cl 1.9</w:t>
      </w:r>
    </w:p>
    <w:p>
      <w:pPr>
        <w:pStyle w:val="ListParagraph"/>
        <w:numPr>
          <w:ilvl w:val="0"/>
          <w:numId w:val="3"/>
        </w:numPr>
        <w:spacing w:after="70" w:line="270"/>
      </w:pPr>
      <w:r>
        <w:rPr>
          <w:rFonts w:ascii="Calibri" w:cs="Calibri" w:eastAsia="Calibri" w:hAnsi="Calibri"/>
          <w:b/>
          <w:bCs/>
          <w:color w:val="1F1F1F"/>
          <w:sz w:val="20"/>
          <w:szCs w:val="20"/>
        </w:rPr>
        <w:t xml:space="preserve">"Address at which asset is stored" — blank for all four assets</w:t>
      </w:r>
      <w:r>
        <w:rPr>
          <w:rFonts w:ascii="Calibri" w:cs="Calibri" w:eastAsia="Calibri" w:hAnsi="Calibri"/>
          <w:color w:val="1F1F1F"/>
          <w:sz w:val="20"/>
          <w:szCs w:val="20"/>
        </w:rPr>
        <w:t xml:space="preserve">, Pledge Annexure B. Not cosmetic: Loan cl 1.10 records the NCA s97(2) duty to notify exactly this, so the schedule meant to record it leaves us technically non-compliant from day one.</w:t>
      </w:r>
    </w:p>
    <w:p>
      <w:pPr>
        <w:spacing w:after="120" w:line="276"/>
      </w:pPr>
      <w:r>
        <w:rPr>
          <w:rFonts w:ascii="Calibri" w:cs="Calibri" w:eastAsia="Calibri" w:hAnsi="Calibri"/>
          <w:b/>
          <w:bCs/>
          <w:color w:val="1F1F1F"/>
          <w:sz w:val="20"/>
          <w:szCs w:val="20"/>
        </w:rPr>
        <w:t xml:space="preserve">Do not sign while the Cost of Credit table reads R[●].</w:t>
      </w:r>
      <w:r>
        <w:rPr>
          <w:rFonts w:ascii="Calibri" w:cs="Calibri" w:eastAsia="Calibri" w:hAnsi="Calibri"/>
          <w:color w:val="1F1F1F"/>
          <w:sz w:val="20"/>
          <w:szCs w:val="20"/>
        </w:rPr>
        <w:t xml:space="preserve"> A disclosure document with its two headline numbers blank is not a disclosure — and their comment 7 concedes the ss92–93 pre-agreement statement and quotation position is unresolved.</w:t>
      </w:r>
    </w:p>
    <w:p>
      <w:pPr>
        <w:pStyle w:val="Heading2"/>
        <w:spacing w:after="100" w:before="260"/>
      </w:pPr>
      <w:r>
        <w:rPr>
          <w:rFonts w:ascii="Calibri" w:cs="Calibri" w:eastAsia="Calibri" w:hAnsi="Calibri"/>
          <w:b/>
          <w:bCs/>
          <w:color w:val="1F1F1F"/>
          <w:sz w:val="23"/>
          <w:szCs w:val="23"/>
        </w:rPr>
        <w:t xml:space="preserve">Verify before Tyron signs anything</w:t>
      </w:r>
    </w:p>
    <w:p>
      <w:pPr>
        <w:pStyle w:val="ListParagraph"/>
        <w:numPr>
          <w:ilvl w:val="0"/>
          <w:numId w:val="2"/>
        </w:numPr>
        <w:spacing w:after="70" w:line="270"/>
      </w:pPr>
      <w:r>
        <w:rPr>
          <w:rFonts w:ascii="Calibri" w:cs="Calibri" w:eastAsia="Calibri" w:hAnsi="Calibri"/>
          <w:b/>
          <w:bCs/>
          <w:color w:val="1F1F1F"/>
          <w:sz w:val="20"/>
          <w:szCs w:val="20"/>
        </w:rPr>
        <w:t xml:space="preserve">Is the Amarok subject to existing bank or instalment-sale finance? </w:t>
      </w:r>
      <w:r>
        <w:rPr>
          <w:rFonts w:ascii="Calibri" w:cs="Calibri" w:eastAsia="Calibri" w:hAnsi="Calibri"/>
          <w:color w:val="1F1F1F"/>
          <w:sz w:val="20"/>
          <w:szCs w:val="20"/>
        </w:rPr>
        <w:t xml:space="preserve">If so, Pledge cl 7.1.1 ("sole and lawful owner") and cl 7.1.2 ("not previously encumbered") are false on signature.</w:t>
      </w:r>
    </w:p>
    <w:p>
      <w:pPr>
        <w:pStyle w:val="ListParagraph"/>
        <w:numPr>
          <w:ilvl w:val="0"/>
          <w:numId w:val="2"/>
        </w:numPr>
        <w:spacing w:after="70" w:line="270"/>
      </w:pPr>
      <w:r>
        <w:rPr>
          <w:rFonts w:ascii="Calibri" w:cs="Calibri" w:eastAsia="Calibri" w:hAnsi="Calibri"/>
          <w:b/>
          <w:bCs/>
          <w:color w:val="1F1F1F"/>
          <w:sz w:val="20"/>
          <w:szCs w:val="20"/>
        </w:rPr>
        <w:t xml:space="preserve">Same for the CAT 416F and the rock hammer. </w:t>
      </w:r>
      <w:r>
        <w:rPr>
          <w:rFonts w:ascii="Calibri" w:cs="Calibri" w:eastAsia="Calibri" w:hAnsi="Calibri"/>
          <w:color w:val="1F1F1F"/>
          <w:sz w:val="20"/>
          <w:szCs w:val="20"/>
        </w:rPr>
        <w:t xml:space="preserve">Obtain settlement letters or written confirmation of unencumbered title for all four assets.</w:t>
      </w:r>
    </w:p>
    <w:p>
      <w:pPr>
        <w:pStyle w:val="ListParagraph"/>
        <w:numPr>
          <w:ilvl w:val="0"/>
          <w:numId w:val="2"/>
        </w:numPr>
        <w:spacing w:after="70" w:line="270"/>
      </w:pPr>
      <w:r>
        <w:rPr>
          <w:rFonts w:ascii="Calibri" w:cs="Calibri" w:eastAsia="Calibri" w:hAnsi="Calibri"/>
          <w:b/>
          <w:bCs/>
          <w:color w:val="1F1F1F"/>
          <w:sz w:val="20"/>
          <w:szCs w:val="20"/>
        </w:rPr>
        <w:t xml:space="preserve">Was the furnace bought subject to reservation of ownership or supplier credit? </w:t>
      </w:r>
      <w:r>
        <w:rPr>
          <w:rFonts w:ascii="Calibri" w:cs="Calibri" w:eastAsia="Calibri" w:hAnsi="Calibri"/>
          <w:color w:val="1F1F1F"/>
          <w:sz w:val="20"/>
          <w:szCs w:val="20"/>
        </w:rPr>
        <w:t xml:space="preserve">Same warranty problem.</w:t>
      </w:r>
    </w:p>
    <w:p>
      <w:pPr>
        <w:pStyle w:val="ListParagraph"/>
        <w:numPr>
          <w:ilvl w:val="0"/>
          <w:numId w:val="2"/>
        </w:numPr>
        <w:spacing w:after="70" w:line="270"/>
      </w:pPr>
      <w:r>
        <w:rPr>
          <w:rFonts w:ascii="Calibri" w:cs="Calibri" w:eastAsia="Calibri" w:hAnsi="Calibri"/>
          <w:b/>
          <w:bCs/>
          <w:color w:val="1F1F1F"/>
          <w:sz w:val="20"/>
          <w:szCs w:val="20"/>
        </w:rPr>
        <w:t xml:space="preserve">Obtain and read the signed Sale of Shares Agreement of 27 November 2025. </w:t>
      </w:r>
      <w:r>
        <w:rPr>
          <w:rFonts w:ascii="Calibri" w:cs="Calibri" w:eastAsia="Calibri" w:hAnsi="Calibri"/>
          <w:color w:val="1F1F1F"/>
          <w:sz w:val="20"/>
          <w:szCs w:val="20"/>
        </w:rPr>
        <w:t xml:space="preserve">We are ceding its proceeds outright and cannot assess cl 4.2 without seeing clause 2 and clause 2.2(c).</w:t>
      </w:r>
    </w:p>
    <w:p>
      <w:pPr>
        <w:pStyle w:val="ListParagraph"/>
        <w:numPr>
          <w:ilvl w:val="0"/>
          <w:numId w:val="2"/>
        </w:numPr>
        <w:spacing w:after="70" w:line="270"/>
      </w:pPr>
      <w:r>
        <w:rPr>
          <w:rFonts w:ascii="Calibri" w:cs="Calibri" w:eastAsia="Calibri" w:hAnsi="Calibri"/>
          <w:b/>
          <w:bCs/>
          <w:color w:val="1F1F1F"/>
          <w:sz w:val="20"/>
          <w:szCs w:val="20"/>
        </w:rPr>
        <w:t xml:space="preserve">Confirm whether the De Jonghs and Nel will actually sign Annexure A </w:t>
      </w:r>
      <w:r>
        <w:rPr>
          <w:rFonts w:ascii="Calibri" w:cs="Calibri" w:eastAsia="Calibri" w:hAnsi="Calibri"/>
          <w:color w:val="1F1F1F"/>
          <w:sz w:val="20"/>
          <w:szCs w:val="20"/>
        </w:rPr>
        <w:t xml:space="preserve">before we contract to procure it within 7 days.</w:t>
      </w:r>
    </w:p>
    <w:p>
      <w:pPr>
        <w:pStyle w:val="ListParagraph"/>
        <w:numPr>
          <w:ilvl w:val="0"/>
          <w:numId w:val="2"/>
        </w:numPr>
        <w:spacing w:after="70" w:line="270"/>
      </w:pPr>
      <w:r>
        <w:rPr>
          <w:rFonts w:ascii="Calibri" w:cs="Calibri" w:eastAsia="Calibri" w:hAnsi="Calibri"/>
          <w:b/>
          <w:bCs/>
          <w:color w:val="1F1F1F"/>
          <w:sz w:val="20"/>
          <w:szCs w:val="20"/>
        </w:rPr>
        <w:t xml:space="preserve">Confirm any existing SARS position </w:t>
      </w:r>
      <w:r>
        <w:rPr>
          <w:rFonts w:ascii="Calibri" w:cs="Calibri" w:eastAsia="Calibri" w:hAnsi="Calibri"/>
          <w:color w:val="1F1F1F"/>
          <w:sz w:val="20"/>
          <w:szCs w:val="20"/>
        </w:rPr>
        <w:t xml:space="preserve">before warranting full tax compliance under Loan cl 12.1.6.</w:t>
      </w:r>
    </w:p>
    <w:p>
      <w:pPr>
        <w:pStyle w:val="Heading1"/>
        <w:pBdr>
          <w:bottom w:val="single" w:color="A85A2E" w:sz="6" w:space="6"/>
        </w:pBdr>
        <w:spacing w:after="160" w:before="400"/>
      </w:pPr>
      <w:r>
        <w:rPr>
          <w:rFonts w:ascii="Calibri" w:cs="Calibri" w:eastAsia="Calibri" w:hAnsi="Calibri"/>
          <w:b/>
          <w:bCs/>
          <w:color w:val="1F1F1F"/>
          <w:sz w:val="30"/>
          <w:szCs w:val="30"/>
        </w:rPr>
        <w:t xml:space="preserve">7.  Negotiating position</w:t>
      </w:r>
    </w:p>
    <w:p>
      <w:pPr>
        <w:pStyle w:val="Heading2"/>
        <w:spacing w:after="100" w:before="260"/>
      </w:pPr>
      <w:r>
        <w:rPr>
          <w:rFonts w:ascii="Calibri" w:cs="Calibri" w:eastAsia="Calibri" w:hAnsi="Calibri"/>
          <w:b/>
          <w:bCs/>
          <w:color w:val="1F1F1F"/>
          <w:sz w:val="23"/>
          <w:szCs w:val="23"/>
        </w:rPr>
        <w:t xml:space="preserve">Must have — do not sign without these</w:t>
      </w:r>
    </w:p>
    <w:p>
      <w:pPr>
        <w:pStyle w:val="ListParagraph"/>
        <w:numPr>
          <w:ilvl w:val="0"/>
          <w:numId w:val="2"/>
        </w:numPr>
        <w:spacing w:after="70" w:line="270"/>
      </w:pPr>
      <w:r>
        <w:rPr>
          <w:rFonts w:ascii="Calibri" w:cs="Calibri" w:eastAsia="Calibri" w:hAnsi="Calibri"/>
          <w:b/>
          <w:bCs/>
          <w:color w:val="1F1F1F"/>
          <w:sz w:val="20"/>
          <w:szCs w:val="20"/>
        </w:rPr>
        <w:t xml:space="preserve">Payment dates keyed to the Drawdown Date</w:t>
      </w:r>
      <w:r>
        <w:rPr>
          <w:rFonts w:ascii="Calibri" w:cs="Calibri" w:eastAsia="Calibri" w:hAnsi="Calibri"/>
          <w:color w:val="1F1F1F"/>
          <w:sz w:val="20"/>
          <w:szCs w:val="20"/>
        </w:rPr>
        <w:t xml:space="preserve">, not fixed calendar dates.  (Loan cl 8.1)</w:t>
      </w:r>
    </w:p>
    <w:p>
      <w:pPr>
        <w:pStyle w:val="ListParagraph"/>
        <w:numPr>
          <w:ilvl w:val="0"/>
          <w:numId w:val="2"/>
        </w:numPr>
        <w:spacing w:after="70" w:line="270"/>
      </w:pPr>
      <w:r>
        <w:rPr>
          <w:rFonts w:ascii="Calibri" w:cs="Calibri" w:eastAsia="Calibri" w:hAnsi="Calibri"/>
          <w:b/>
          <w:bCs/>
          <w:color w:val="1F1F1F"/>
          <w:sz w:val="20"/>
          <w:szCs w:val="20"/>
        </w:rPr>
        <w:t xml:space="preserve">Materiality qualifier and a 10 business day cure period</w:t>
      </w:r>
      <w:r>
        <w:rPr>
          <w:rFonts w:ascii="Calibri" w:cs="Calibri" w:eastAsia="Calibri" w:hAnsi="Calibri"/>
          <w:color w:val="1F1F1F"/>
          <w:sz w:val="20"/>
          <w:szCs w:val="20"/>
        </w:rPr>
        <w:t xml:space="preserve"> on all non-payment Events of Default.  (Loan cl 14.1)</w:t>
      </w:r>
    </w:p>
    <w:p>
      <w:pPr>
        <w:pStyle w:val="ListParagraph"/>
        <w:numPr>
          <w:ilvl w:val="0"/>
          <w:numId w:val="2"/>
        </w:numPr>
        <w:spacing w:after="70" w:line="270"/>
      </w:pPr>
      <w:r>
        <w:rPr>
          <w:rFonts w:ascii="Calibri" w:cs="Calibri" w:eastAsia="Calibri" w:hAnsi="Calibri"/>
          <w:b/>
          <w:bCs/>
          <w:color w:val="1F1F1F"/>
          <w:sz w:val="20"/>
          <w:szCs w:val="20"/>
        </w:rPr>
        <w:t xml:space="preserve">Pledge cl 4.2 changed to in securitatem debiti</w:t>
      </w:r>
      <w:r>
        <w:rPr>
          <w:rFonts w:ascii="Calibri" w:cs="Calibri" w:eastAsia="Calibri" w:hAnsi="Calibri"/>
          <w:color w:val="1F1F1F"/>
          <w:sz w:val="20"/>
          <w:szCs w:val="20"/>
        </w:rPr>
        <w:t xml:space="preserve"> — or express re-cession, surplus-accounting and a cap at the Secured Obligations.</w:t>
      </w:r>
    </w:p>
    <w:p>
      <w:pPr>
        <w:pStyle w:val="ListParagraph"/>
        <w:numPr>
          <w:ilvl w:val="0"/>
          <w:numId w:val="2"/>
        </w:numPr>
        <w:spacing w:after="70" w:line="270"/>
      </w:pPr>
      <w:r>
        <w:rPr>
          <w:rFonts w:ascii="Calibri" w:cs="Calibri" w:eastAsia="Calibri" w:hAnsi="Calibri"/>
          <w:b/>
          <w:bCs/>
          <w:color w:val="1F1F1F"/>
          <w:sz w:val="20"/>
          <w:szCs w:val="20"/>
        </w:rPr>
        <w:t xml:space="preserve">An express ordinary-course carve-out</w:t>
      </w:r>
      <w:r>
        <w:rPr>
          <w:rFonts w:ascii="Calibri" w:cs="Calibri" w:eastAsia="Calibri" w:hAnsi="Calibri"/>
          <w:color w:val="1F1F1F"/>
          <w:sz w:val="20"/>
          <w:szCs w:val="20"/>
        </w:rPr>
        <w:t xml:space="preserve"> permitting collection of book debts and operation of the bank account until an Event of Default is continuing.  (Pledge cl 6.1)</w:t>
      </w:r>
    </w:p>
    <w:p>
      <w:pPr>
        <w:pStyle w:val="ListParagraph"/>
        <w:numPr>
          <w:ilvl w:val="0"/>
          <w:numId w:val="2"/>
        </w:numPr>
        <w:spacing w:after="70" w:line="270"/>
      </w:pPr>
      <w:r>
        <w:rPr>
          <w:rFonts w:ascii="Calibri" w:cs="Calibri" w:eastAsia="Calibri" w:hAnsi="Calibri"/>
          <w:b/>
          <w:bCs/>
          <w:color w:val="1F1F1F"/>
          <w:sz w:val="20"/>
          <w:szCs w:val="20"/>
        </w:rPr>
        <w:t xml:space="preserve">A clause making the Pledge subject to the NCA</w:t>
      </w:r>
      <w:r>
        <w:rPr>
          <w:rFonts w:ascii="Calibri" w:cs="Calibri" w:eastAsia="Calibri" w:hAnsi="Calibri"/>
          <w:color w:val="1F1F1F"/>
          <w:sz w:val="20"/>
          <w:szCs w:val="20"/>
        </w:rPr>
        <w:t xml:space="preserve">, with the NCA and Loan cl 1 and 19 prevailing.  (Pledge cl 5.1)</w:t>
      </w:r>
    </w:p>
    <w:p>
      <w:pPr>
        <w:pStyle w:val="ListParagraph"/>
        <w:numPr>
          <w:ilvl w:val="0"/>
          <w:numId w:val="2"/>
        </w:numPr>
        <w:spacing w:after="70" w:line="270"/>
      </w:pPr>
      <w:r>
        <w:rPr>
          <w:rFonts w:ascii="Calibri" w:cs="Calibri" w:eastAsia="Calibri" w:hAnsi="Calibri"/>
          <w:b/>
          <w:bCs/>
          <w:color w:val="1F1F1F"/>
          <w:sz w:val="20"/>
          <w:szCs w:val="20"/>
        </w:rPr>
        <w:t xml:space="preserve">A release and re-cession clause</w:t>
      </w:r>
      <w:r>
        <w:rPr>
          <w:rFonts w:ascii="Calibri" w:cs="Calibri" w:eastAsia="Calibri" w:hAnsi="Calibri"/>
          <w:color w:val="1F1F1F"/>
          <w:sz w:val="20"/>
          <w:szCs w:val="20"/>
        </w:rPr>
        <w:t xml:space="preserve"> on discharge, within 10 business days, at their cost.  (Pledge — new clause)</w:t>
      </w:r>
    </w:p>
    <w:p>
      <w:pPr>
        <w:pStyle w:val="ListParagraph"/>
        <w:numPr>
          <w:ilvl w:val="0"/>
          <w:numId w:val="2"/>
        </w:numPr>
        <w:spacing w:after="70" w:line="270"/>
      </w:pPr>
      <w:r>
        <w:rPr>
          <w:rFonts w:ascii="Calibri" w:cs="Calibri" w:eastAsia="Calibri" w:hAnsi="Calibri"/>
          <w:b/>
          <w:bCs/>
          <w:color w:val="1F1F1F"/>
          <w:sz w:val="20"/>
          <w:szCs w:val="20"/>
        </w:rPr>
        <w:t xml:space="preserve">Interest not compounded daily</w:t>
      </w:r>
      <w:r>
        <w:rPr>
          <w:rFonts w:ascii="Calibri" w:cs="Calibri" w:eastAsia="Calibri" w:hAnsi="Calibri"/>
          <w:color w:val="1F1F1F"/>
          <w:sz w:val="20"/>
          <w:szCs w:val="20"/>
        </w:rPr>
        <w:t xml:space="preserve">, the effective annual rate on the face of the agreement, and the Cost of Credit table completed.  (Loan cl 1 and 9)</w:t>
      </w:r>
    </w:p>
    <w:p>
      <w:pPr>
        <w:pStyle w:val="Heading2"/>
        <w:spacing w:after="100" w:before="260"/>
      </w:pPr>
      <w:r>
        <w:rPr>
          <w:rFonts w:ascii="Calibri" w:cs="Calibri" w:eastAsia="Calibri" w:hAnsi="Calibri"/>
          <w:b/>
          <w:bCs/>
          <w:color w:val="1F1F1F"/>
          <w:sz w:val="23"/>
          <w:szCs w:val="23"/>
        </w:rPr>
        <w:t xml:space="preserve">Strongly press</w:t>
      </w:r>
    </w:p>
    <w:p>
      <w:pPr>
        <w:pStyle w:val="ListParagraph"/>
        <w:numPr>
          <w:ilvl w:val="0"/>
          <w:numId w:val="3"/>
        </w:numPr>
        <w:spacing w:after="70" w:line="270"/>
      </w:pPr>
      <w:r>
        <w:rPr>
          <w:rFonts w:ascii="Calibri" w:cs="Calibri" w:eastAsia="Calibri" w:hAnsi="Calibri"/>
          <w:color w:val="1F1F1F"/>
          <w:sz w:val="20"/>
          <w:szCs w:val="20"/>
        </w:rPr>
        <w:t xml:space="preserve">Perfection obligations (delivery, NATIS, attornment) only after a continuing Event of Default.  (Pledge cl 4.13–4.14)</w:t>
      </w:r>
    </w:p>
    <w:p>
      <w:pPr>
        <w:pStyle w:val="ListParagraph"/>
        <w:numPr>
          <w:ilvl w:val="0"/>
          <w:numId w:val="3"/>
        </w:numPr>
        <w:spacing w:after="70" w:line="270"/>
      </w:pPr>
      <w:r>
        <w:rPr>
          <w:rFonts w:ascii="Calibri" w:cs="Calibri" w:eastAsia="Calibri" w:hAnsi="Calibri"/>
          <w:color w:val="1F1F1F"/>
          <w:sz w:val="20"/>
          <w:szCs w:val="20"/>
        </w:rPr>
        <w:t xml:space="preserve">Power of attorney narrowed and made post-default only.  (Pledge cl 6.3)</w:t>
      </w:r>
    </w:p>
    <w:p>
      <w:pPr>
        <w:pStyle w:val="ListParagraph"/>
        <w:numPr>
          <w:ilvl w:val="0"/>
          <w:numId w:val="3"/>
        </w:numPr>
        <w:spacing w:after="70" w:line="270"/>
      </w:pPr>
      <w:r>
        <w:rPr>
          <w:rFonts w:ascii="Calibri" w:cs="Calibri" w:eastAsia="Calibri" w:hAnsi="Calibri"/>
          <w:color w:val="1F1F1F"/>
          <w:sz w:val="20"/>
          <w:szCs w:val="20"/>
        </w:rPr>
        <w:t xml:space="preserve">Independent expert for balance disputes and for fair-market valuation; costs shared.  (Loan cl 18; Pledge cl 5.2.9)</w:t>
      </w:r>
    </w:p>
    <w:p>
      <w:pPr>
        <w:pStyle w:val="ListParagraph"/>
        <w:numPr>
          <w:ilvl w:val="0"/>
          <w:numId w:val="3"/>
        </w:numPr>
        <w:spacing w:after="70" w:line="270"/>
      </w:pPr>
      <w:r>
        <w:rPr>
          <w:rFonts w:ascii="Calibri" w:cs="Calibri" w:eastAsia="Calibri" w:hAnsi="Calibri"/>
          <w:color w:val="1F1F1F"/>
          <w:sz w:val="20"/>
          <w:szCs w:val="20"/>
        </w:rPr>
        <w:t xml:space="preserve">Warranties qualified by knowledge, materiality and disclosure; indemnity capped at the Aggregate Debt.  (Pledge cl 7.1)</w:t>
      </w:r>
    </w:p>
    <w:p>
      <w:pPr>
        <w:pStyle w:val="ListParagraph"/>
        <w:numPr>
          <w:ilvl w:val="0"/>
          <w:numId w:val="3"/>
        </w:numPr>
        <w:spacing w:after="70" w:line="270"/>
      </w:pPr>
      <w:r>
        <w:rPr>
          <w:rFonts w:ascii="Calibri" w:cs="Calibri" w:eastAsia="Calibri" w:hAnsi="Calibri"/>
          <w:color w:val="1F1F1F"/>
          <w:sz w:val="20"/>
          <w:szCs w:val="20"/>
        </w:rPr>
        <w:t xml:space="preserve">Callback verification and a negligence carve-out on the electronic-instructions indemnity.  (Loan cl 15)</w:t>
      </w:r>
    </w:p>
    <w:p>
      <w:pPr>
        <w:pStyle w:val="ListParagraph"/>
        <w:numPr>
          <w:ilvl w:val="0"/>
          <w:numId w:val="3"/>
        </w:numPr>
        <w:spacing w:after="70" w:line="270"/>
      </w:pPr>
      <w:r>
        <w:rPr>
          <w:rFonts w:ascii="Calibri" w:cs="Calibri" w:eastAsia="Calibri" w:hAnsi="Calibri"/>
          <w:color w:val="1F1F1F"/>
          <w:sz w:val="20"/>
          <w:szCs w:val="20"/>
        </w:rPr>
        <w:t xml:space="preserve">Negative pledge carved out for asset finance, existing security and a de-minimis basket.  (Loan cl 12.1.7)</w:t>
      </w:r>
    </w:p>
    <w:p>
      <w:pPr>
        <w:pStyle w:val="ListParagraph"/>
        <w:numPr>
          <w:ilvl w:val="0"/>
          <w:numId w:val="3"/>
        </w:numPr>
        <w:spacing w:after="70" w:line="270"/>
      </w:pPr>
      <w:r>
        <w:rPr>
          <w:rFonts w:ascii="Calibri" w:cs="Calibri" w:eastAsia="Calibri" w:hAnsi="Calibri"/>
          <w:color w:val="1F1F1F"/>
          <w:sz w:val="20"/>
          <w:szCs w:val="20"/>
        </w:rPr>
        <w:t xml:space="preserve">Annexure A obligation reduced to reasonable endeavours; non-signature expressly not a default.  (Pledge cl 4.3)</w:t>
      </w:r>
    </w:p>
    <w:p>
      <w:pPr>
        <w:pStyle w:val="ListParagraph"/>
        <w:numPr>
          <w:ilvl w:val="0"/>
          <w:numId w:val="3"/>
        </w:numPr>
        <w:spacing w:after="70" w:line="270"/>
      </w:pPr>
      <w:r>
        <w:rPr>
          <w:rFonts w:ascii="Calibri" w:cs="Calibri" w:eastAsia="Calibri" w:hAnsi="Calibri"/>
          <w:color w:val="1F1F1F"/>
          <w:sz w:val="20"/>
          <w:szCs w:val="20"/>
        </w:rPr>
        <w:t xml:space="preserve">Restriction on Plane Tree ceding the facility and security onward.  (Loan cl 21.5; Pledge cl 12.5)</w:t>
      </w:r>
    </w:p>
    <w:p>
      <w:pPr>
        <w:pStyle w:val="ListParagraph"/>
        <w:numPr>
          <w:ilvl w:val="0"/>
          <w:numId w:val="3"/>
        </w:numPr>
        <w:spacing w:after="70" w:line="270"/>
      </w:pPr>
      <w:r>
        <w:rPr>
          <w:rFonts w:ascii="Calibri" w:cs="Calibri" w:eastAsia="Calibri" w:hAnsi="Calibri"/>
          <w:color w:val="1F1F1F"/>
          <w:sz w:val="20"/>
          <w:szCs w:val="20"/>
        </w:rPr>
        <w:t xml:space="preserve">Longstop date on the suspensive conditions, and "Event of Default" deleted from Loan cl 5.3.</w:t>
      </w:r>
    </w:p>
    <w:p>
      <w:pPr>
        <w:pStyle w:val="Heading2"/>
        <w:spacing w:after="100" w:before="260"/>
      </w:pPr>
      <w:r>
        <w:rPr>
          <w:rFonts w:ascii="Calibri" w:cs="Calibri" w:eastAsia="Calibri" w:hAnsi="Calibri"/>
          <w:b/>
          <w:bCs/>
          <w:color w:val="1F1F1F"/>
          <w:sz w:val="23"/>
          <w:szCs w:val="23"/>
        </w:rPr>
        <w:t xml:space="preserve">Trade away if needed</w:t>
      </w:r>
    </w:p>
    <w:p>
      <w:pPr>
        <w:spacing w:after="120" w:line="276"/>
      </w:pPr>
      <w:r>
        <w:rPr>
          <w:rFonts w:ascii="Calibri" w:cs="Calibri" w:eastAsia="Calibri" w:hAnsi="Calibri"/>
          <w:color w:val="1F1F1F"/>
          <w:sz w:val="20"/>
          <w:szCs w:val="20"/>
        </w:rPr>
        <w:t xml:space="preserve">The plain-language warranty (cl 12.1.4), the contra proferentem exclusion, the counterparts and witness provisions, and most of the interpretation clause. These cost us little and give them the sense of a negotiation.</w:t>
      </w:r>
    </w:p>
    <w:p>
      <w:pPr>
        <w:pStyle w:val="Heading2"/>
        <w:spacing w:after="100" w:before="260"/>
      </w:pPr>
      <w:r>
        <w:rPr>
          <w:rFonts w:ascii="Calibri" w:cs="Calibri" w:eastAsia="Calibri" w:hAnsi="Calibri"/>
          <w:b/>
          <w:bCs/>
          <w:color w:val="1F1F1F"/>
          <w:sz w:val="23"/>
          <w:szCs w:val="23"/>
        </w:rPr>
        <w:t xml:space="preserve">A structural question worth putting on the table</w:t>
      </w:r>
    </w:p>
    <w:p>
      <w:pPr>
        <w:spacing w:after="120" w:line="276"/>
      </w:pPr>
      <w:r>
        <w:rPr>
          <w:rFonts w:ascii="Calibri" w:cs="Calibri" w:eastAsia="Calibri" w:hAnsi="Calibri"/>
          <w:color w:val="1F1F1F"/>
          <w:sz w:val="20"/>
          <w:szCs w:val="20"/>
        </w:rPr>
        <w:t xml:space="preserve">Almost every problem above flows from one decision: </w:t>
      </w:r>
      <w:r>
        <w:rPr>
          <w:rFonts w:ascii="Calibri" w:cs="Calibri" w:eastAsia="Calibri" w:hAnsi="Calibri"/>
          <w:b/>
          <w:bCs/>
          <w:color w:val="1F1F1F"/>
          <w:sz w:val="20"/>
          <w:szCs w:val="20"/>
        </w:rPr>
        <w:t xml:space="preserve">this is a personal loan to a natural person for what is plainly a business transaction.</w:t>
      </w:r>
      <w:r>
        <w:rPr>
          <w:rFonts w:ascii="Calibri" w:cs="Calibri" w:eastAsia="Calibri" w:hAnsi="Calibri"/>
          <w:color w:val="1F1F1F"/>
          <w:sz w:val="20"/>
          <w:szCs w:val="20"/>
        </w:rPr>
        <w:t xml:space="preserve"> If the copper venture sits in a company, borrowing through that company — with a capped, defined suretyship from Tyron if they insist — would ring-fence the exposure, remove the personal negative pledge over all his assets, take the reckless-credit and affordability problem off the table for both sides, and dispose of the s100 legal-fees problem cleanly.</w:t>
      </w:r>
    </w:p>
    <w:p>
      <w:pPr>
        <w:spacing w:after="120" w:line="276"/>
      </w:pPr>
      <w:r>
        <w:rPr>
          <w:rFonts w:ascii="Calibri" w:cs="Calibri" w:eastAsia="Calibri" w:hAnsi="Calibri"/>
          <w:color w:val="1F1F1F"/>
          <w:sz w:val="20"/>
          <w:szCs w:val="20"/>
        </w:rPr>
        <w:t xml:space="preserve">But note the trade-off honestly: the NCA protections that currently apply </w:t>
      </w:r>
      <w:r>
        <w:rPr>
          <w:rFonts w:ascii="Calibri" w:cs="Calibri" w:eastAsia="Calibri" w:hAnsi="Calibri"/>
          <w:i/>
          <w:iCs/>
          <w:color w:val="1F1F1F"/>
          <w:sz w:val="20"/>
          <w:szCs w:val="20"/>
        </w:rPr>
        <w:t xml:space="preserve">because</w:t>
      </w:r>
      <w:r>
        <w:rPr>
          <w:rFonts w:ascii="Calibri" w:cs="Calibri" w:eastAsia="Calibri" w:hAnsi="Calibri"/>
          <w:color w:val="1F1F1F"/>
          <w:sz w:val="20"/>
          <w:szCs w:val="20"/>
        </w:rPr>
        <w:t xml:space="preserve"> the borrower is a natural person — s129 notice, debt review, in duplum, the prescribed rate caps — would fall away for a company above the NCA threshold. </w:t>
      </w:r>
      <w:r>
        <w:rPr>
          <w:rFonts w:ascii="Calibri" w:cs="Calibri" w:eastAsia="Calibri" w:hAnsi="Calibri"/>
          <w:b/>
          <w:bCs/>
          <w:color w:val="1F1F1F"/>
          <w:sz w:val="20"/>
          <w:szCs w:val="20"/>
        </w:rPr>
        <w:t xml:space="preserve">This is a judgement call for Dreyer and our attorney, not one to settle in correspondence with Plane Tree.</w:t>
      </w:r>
    </w:p>
    <w:p>
      <w:pPr>
        <w:pStyle w:val="Heading1"/>
        <w:pBdr>
          <w:bottom w:val="single" w:color="A85A2E" w:sz="6" w:space="6"/>
        </w:pBdr>
        <w:spacing w:after="160" w:before="400"/>
      </w:pPr>
      <w:r>
        <w:rPr>
          <w:rFonts w:ascii="Calibri" w:cs="Calibri" w:eastAsia="Calibri" w:hAnsi="Calibri"/>
          <w:b/>
          <w:bCs/>
          <w:color w:val="1F1F1F"/>
          <w:sz w:val="30"/>
          <w:szCs w:val="30"/>
        </w:rPr>
        <w:t xml:space="preserve">8.  Suggested reply to Toivo</w:t>
      </w:r>
    </w:p>
    <w:p>
      <w:pPr>
        <w:spacing w:after="120" w:line="276"/>
      </w:pPr>
      <w:r>
        <w:rPr>
          <w:rFonts w:ascii="Calibri" w:cs="Calibri" w:eastAsia="Calibri" w:hAnsi="Calibri"/>
          <w:color w:val="1F1F1F"/>
          <w:sz w:val="20"/>
          <w:szCs w:val="20"/>
        </w:rPr>
        <w:t xml:space="preserve">Hold the substantive mark-up until our attorney has been through this. Reply now only on the fee request, and to buy time.</w:t>
      </w:r>
    </w:p>
    <w:p>
      <w:pPr>
        <w:pBdr>
          <w:top w:val="single" w:color="D8D2CA" w:sz="6" w:space="10"/>
          <w:left w:val="single" w:color="D8D2CA" w:sz="6" w:space="10"/>
          <w:right w:val="single" w:color="D8D2CA" w:sz="6" w:space="10"/>
        </w:pBdr>
        <w:shd w:fill="F5F2EE" w:color="auto" w:val="clear"/>
        <w:spacing w:after="60" w:before="100"/>
      </w:pPr>
      <w:r>
        <w:rPr>
          <w:rFonts w:ascii="Calibri" w:cs="Calibri" w:eastAsia="Calibri" w:hAnsi="Calibri"/>
          <w:b/>
          <w:bCs/>
          <w:color w:val="666057"/>
          <w:sz w:val="15"/>
          <w:szCs w:val="15"/>
        </w:rPr>
        <w:t xml:space="preserve">DRAFT · TO TOIVO@PLANE-TREE.COM · NOT SENT</w:t>
      </w:r>
    </w:p>
    <w:p>
      <w:pPr>
        <w:pBdr>
          <w:left w:val="single" w:color="D8D2CA" w:sz="6" w:space="10"/>
          <w:right w:val="single" w:color="D8D2CA" w:sz="6" w:space="10"/>
        </w:pBdr>
        <w:shd w:fill="F5F2EE" w:color="auto" w:val="clear"/>
        <w:spacing w:after="120" w:line="280"/>
      </w:pPr>
      <w:r>
        <w:rPr>
          <w:rFonts w:ascii="Calibri" w:cs="Calibri" w:eastAsia="Calibri" w:hAnsi="Calibri"/>
          <w:color w:val="1F1F1F"/>
          <w:sz w:val="20"/>
          <w:szCs w:val="20"/>
        </w:rPr>
        <w:t xml:space="preserve">Hi Toivo,</w:t>
      </w:r>
    </w:p>
    <w:p>
      <w:pPr>
        <w:pBdr>
          <w:left w:val="single" w:color="D8D2CA" w:sz="6" w:space="10"/>
          <w:right w:val="single" w:color="D8D2CA" w:sz="6" w:space="10"/>
        </w:pBdr>
        <w:shd w:fill="F5F2EE" w:color="auto" w:val="clear"/>
        <w:spacing w:after="120" w:line="280"/>
      </w:pPr>
      <w:r>
        <w:rPr>
          <w:rFonts w:ascii="Calibri" w:cs="Calibri" w:eastAsia="Calibri" w:hAnsi="Calibri"/>
          <w:color w:val="1F1F1F"/>
          <w:sz w:val="20"/>
          <w:szCs w:val="20"/>
        </w:rPr>
        <w:t xml:space="preserve">Thanks for sending these through, and for the detail in the drafts.</w:t>
      </w:r>
    </w:p>
    <w:p>
      <w:pPr>
        <w:pBdr>
          <w:left w:val="single" w:color="D8D2CA" w:sz="6" w:space="10"/>
          <w:right w:val="single" w:color="D8D2CA" w:sz="6" w:space="10"/>
        </w:pBdr>
        <w:shd w:fill="F5F2EE" w:color="auto" w:val="clear"/>
        <w:spacing w:after="120" w:line="280"/>
      </w:pPr>
      <w:r>
        <w:rPr>
          <w:rFonts w:ascii="Calibri" w:cs="Calibri" w:eastAsia="Calibri" w:hAnsi="Calibri"/>
          <w:color w:val="1F1F1F"/>
          <w:sz w:val="20"/>
          <w:szCs w:val="20"/>
        </w:rPr>
        <w:t xml:space="preserve">We’re working through both agreements with our attorney and will come back to you with a consolidated mark-up rather than piecemeal comments. Realistically that will be with you by [date].</w:t>
      </w:r>
    </w:p>
    <w:p>
      <w:pPr>
        <w:pBdr>
          <w:left w:val="single" w:color="D8D2CA" w:sz="6" w:space="10"/>
          <w:right w:val="single" w:color="D8D2CA" w:sz="6" w:space="10"/>
        </w:pBdr>
        <w:shd w:fill="F5F2EE" w:color="auto" w:val="clear"/>
        <w:spacing w:after="120" w:line="280"/>
      </w:pPr>
      <w:r>
        <w:rPr>
          <w:rFonts w:ascii="Calibri" w:cs="Calibri" w:eastAsia="Calibri" w:hAnsi="Calibri"/>
          <w:color w:val="1F1F1F"/>
          <w:sz w:val="20"/>
          <w:szCs w:val="20"/>
        </w:rPr>
        <w:t xml:space="preserve">Two things in the meantime.</w:t>
      </w:r>
    </w:p>
    <w:p>
      <w:pPr>
        <w:pBdr>
          <w:left w:val="single" w:color="D8D2CA" w:sz="6" w:space="10"/>
          <w:right w:val="single" w:color="D8D2CA" w:sz="6" w:space="10"/>
        </w:pBdr>
        <w:shd w:fill="F5F2EE" w:color="auto" w:val="clear"/>
        <w:spacing w:after="120" w:line="280"/>
      </w:pPr>
      <w:r>
        <w:rPr>
          <w:rFonts w:ascii="Calibri" w:cs="Calibri" w:eastAsia="Calibri" w:hAnsi="Calibri"/>
          <w:color w:val="1F1F1F"/>
          <w:sz w:val="20"/>
          <w:szCs w:val="20"/>
        </w:rPr>
        <w:t xml:space="preserve">First, could you please complete the Cost of Credit table before we go further — TOTAL INTEREST, FEES AND CHARGES and TOTAL COST OF CREDIT are both still shown as R[●], and we’d also like the effective annual rate stated alongside the nominal 21%, given interest is compounding daily. On our modelling the structure leaves a balloon of roughly R1.63m falling due on 31 August 2027, which we’d want reflected clearly on the face of the agreement. Could you also confirm whether a pre-agreement statement and quotation under sections 92 and 93 have been issued.</w:t>
      </w:r>
    </w:p>
    <w:p>
      <w:pPr>
        <w:pBdr>
          <w:left w:val="single" w:color="D8D2CA" w:sz="6" w:space="10"/>
          <w:right w:val="single" w:color="D8D2CA" w:sz="6" w:space="10"/>
        </w:pBdr>
        <w:shd w:fill="F5F2EE" w:color="auto" w:val="clear"/>
        <w:spacing w:after="120" w:line="280"/>
      </w:pPr>
      <w:r>
        <w:rPr>
          <w:rFonts w:ascii="Calibri" w:cs="Calibri" w:eastAsia="Calibri" w:hAnsi="Calibri"/>
          <w:color w:val="1F1F1F"/>
          <w:sz w:val="20"/>
          <w:szCs w:val="20"/>
        </w:rPr>
        <w:t xml:space="preserve">Second, on the AOD and invoice for legal fees — before we provide company details, could you let us know (a) the quantum, (b) the basis on which the Borrower is liable for the Lender’s drafting costs given section 100 of the NCA, and (c) why this is being handled through a separate acknowledgement of debt rather than disclosed in the Cost of Credit table, which currently records both the initiation fee and the service fee as nil. We’d prefer to keep everything inside the one agreement.</w:t>
      </w:r>
    </w:p>
    <w:p>
      <w:pPr>
        <w:pBdr>
          <w:left w:val="single" w:color="D8D2CA" w:sz="6" w:space="10"/>
          <w:right w:val="single" w:color="D8D2CA" w:sz="6" w:space="10"/>
        </w:pBdr>
        <w:shd w:fill="F5F2EE" w:color="auto" w:val="clear"/>
        <w:spacing w:after="120" w:line="280"/>
      </w:pPr>
      <w:r>
        <w:rPr>
          <w:rFonts w:ascii="Calibri" w:cs="Calibri" w:eastAsia="Calibri" w:hAnsi="Calibri"/>
          <w:color w:val="1F1F1F"/>
          <w:sz w:val="20"/>
          <w:szCs w:val="20"/>
        </w:rPr>
        <w:t xml:space="preserve">Happy to jump on a call if that’s quicker.</w:t>
      </w:r>
    </w:p>
    <w:p>
      <w:pPr>
        <w:pBdr>
          <w:left w:val="single" w:color="D8D2CA" w:sz="6" w:space="10"/>
          <w:bottom w:val="single" w:color="D8D2CA" w:sz="6" w:space="10"/>
          <w:right w:val="single" w:color="D8D2CA" w:sz="6" w:space="10"/>
        </w:pBdr>
        <w:shd w:fill="F5F2EE" w:color="auto" w:val="clear"/>
        <w:spacing w:after="0" w:line="280"/>
      </w:pPr>
      <w:r>
        <w:rPr>
          <w:rFonts w:ascii="Calibri" w:cs="Calibri" w:eastAsia="Calibri" w:hAnsi="Calibri"/>
          <w:color w:val="1F1F1F"/>
          <w:sz w:val="20"/>
          <w:szCs w:val="20"/>
        </w:rPr>
        <w:t xml:space="preserve">Kind regards,</w:t>
      </w:r>
    </w:p>
    <w:p>
      <w:pPr>
        <w:spacing w:after="160"/>
      </w:pPr>
      <w:r>
        <w:rPr>
          <w:rFonts w:ascii="Calibri" w:cs="Calibri" w:eastAsia="Calibri" w:hAnsi="Calibri"/>
          <w:color w:val="1F1F1F"/>
          <w:sz w:val="2"/>
          <w:szCs w:val="2"/>
        </w:rPr>
        <w:t xml:space="preserve"/>
      </w:r>
    </w:p>
    <w:p>
      <w:pPr>
        <w:pBdr>
          <w:top w:val="single" w:color="A32E2E" w:sz="6" w:space="8"/>
          <w:left w:val="single" w:color="A32E2E" w:sz="6" w:space="8"/>
          <w:right w:val="single" w:color="A32E2E" w:sz="6" w:space="8"/>
        </w:pBdr>
        <w:shd w:fill="F8E9E7" w:color="auto" w:val="clear"/>
        <w:spacing w:after="40" w:before="120"/>
      </w:pPr>
      <w:r>
        <w:rPr>
          <w:rFonts w:ascii="Calibri" w:cs="Calibri" w:eastAsia="Calibri" w:hAnsi="Calibri"/>
          <w:b/>
          <w:bCs/>
          <w:color w:val="A32E2E"/>
          <w:sz w:val="16"/>
          <w:szCs w:val="16"/>
        </w:rPr>
        <w:t xml:space="preserve">WHAT THIS DOES</w:t>
      </w:r>
    </w:p>
    <w:p>
      <w:pPr>
        <w:pBdr>
          <w:left w:val="single" w:color="A32E2E" w:sz="6" w:space="8"/>
          <w:right w:val="single" w:color="A32E2E" w:sz="6" w:space="8"/>
        </w:pBdr>
        <w:shd w:fill="F8E9E7" w:color="auto" w:val="clear"/>
        <w:spacing w:after="70" w:line="270"/>
      </w:pPr>
      <w:r>
        <w:rPr>
          <w:rFonts w:ascii="Calibri" w:cs="Calibri" w:eastAsia="Calibri" w:hAnsi="Calibri"/>
          <w:color w:val="1F1F1F"/>
          <w:sz w:val="20"/>
          <w:szCs w:val="20"/>
        </w:rPr>
        <w:t xml:space="preserve">Puts the s100 problem back on their side of the table without accusing anyone, declines the AOD without saying "no", uses their own nil-fee disclosure against the request, and signals we have modelled the deal properly — which changes the tone of everything that follows.</w:t>
      </w:r>
    </w:p>
    <w:p>
      <w:pPr>
        <w:pBdr>
          <w:left w:val="single" w:color="A32E2E" w:sz="6" w:space="8"/>
          <w:bottom w:val="single" w:color="A32E2E" w:sz="6" w:space="8"/>
          <w:right w:val="single" w:color="A32E2E" w:sz="6" w:space="8"/>
        </w:pBdr>
        <w:shd w:fill="F8E9E7" w:color="auto" w:val="clear"/>
        <w:spacing w:after="0" w:line="270"/>
      </w:pPr>
      <w:r>
        <w:rPr>
          <w:rFonts w:ascii="Calibri" w:cs="Calibri" w:eastAsia="Calibri" w:hAnsi="Calibri"/>
          <w:b/>
          <w:bCs/>
          <w:color w:val="A32E2E"/>
          <w:sz w:val="20"/>
          <w:szCs w:val="20"/>
        </w:rPr>
        <w:t xml:space="preserve">Do not send company details, and do not sign an AOD for legal fees, until our attorney has advised.</w:t>
      </w:r>
    </w:p>
    <w:p>
      <w:pPr>
        <w:spacing w:after="140"/>
      </w:pPr>
      <w:r>
        <w:rPr>
          <w:rFonts w:ascii="Calibri" w:cs="Calibri" w:eastAsia="Calibri" w:hAnsi="Calibri"/>
          <w:color w:val="1F1F1F"/>
          <w:sz w:val="2"/>
          <w:szCs w:val="2"/>
        </w:rPr>
        <w:t xml:space="preserve"/>
      </w:r>
    </w:p>
    <w:p>
      <w:r>
        <w:br w:type="page"/>
      </w:r>
    </w:p>
    <w:p>
      <w:pPr>
        <w:pStyle w:val="Heading1"/>
        <w:pBdr>
          <w:bottom w:val="single" w:color="A85A2E" w:sz="6" w:space="6"/>
        </w:pBdr>
        <w:spacing w:after="160" w:before="400"/>
      </w:pPr>
      <w:r>
        <w:rPr>
          <w:rFonts w:ascii="Calibri" w:cs="Calibri" w:eastAsia="Calibri" w:hAnsi="Calibri"/>
          <w:b/>
          <w:bCs/>
          <w:color w:val="1F1F1F"/>
          <w:sz w:val="30"/>
          <w:szCs w:val="30"/>
        </w:rPr>
        <w:t xml:space="preserve">9.  Legal position — authorities relied on, and what is not verified</w:t>
      </w:r>
    </w:p>
    <w:p>
      <w:pPr>
        <w:pBdr>
          <w:top w:val="single" w:color="A32E2E" w:sz="6" w:space="8"/>
          <w:left w:val="single" w:color="A32E2E" w:sz="6" w:space="8"/>
          <w:right w:val="single" w:color="A32E2E" w:sz="6" w:space="8"/>
        </w:pBdr>
        <w:shd w:fill="F8E9E7" w:color="auto" w:val="clear"/>
        <w:spacing w:after="40" w:before="120"/>
      </w:pPr>
      <w:r>
        <w:rPr>
          <w:rFonts w:ascii="Calibri" w:cs="Calibri" w:eastAsia="Calibri" w:hAnsi="Calibri"/>
          <w:b/>
          <w:bCs/>
          <w:color w:val="A32E2E"/>
          <w:sz w:val="16"/>
          <w:szCs w:val="16"/>
        </w:rPr>
        <w:t xml:space="preserve">READ THIS BEFORE CITING ANYTHING BELOW</w:t>
      </w:r>
    </w:p>
    <w:p>
      <w:pPr>
        <w:pBdr>
          <w:left w:val="single" w:color="A32E2E" w:sz="6" w:space="8"/>
          <w:bottom w:val="single" w:color="A32E2E" w:sz="6" w:space="8"/>
          <w:right w:val="single" w:color="A32E2E" w:sz="6" w:space="8"/>
        </w:pBdr>
        <w:shd w:fill="F8E9E7" w:color="auto" w:val="clear"/>
        <w:spacing w:after="0" w:line="270"/>
      </w:pPr>
      <w:r>
        <w:rPr>
          <w:rFonts w:ascii="Calibri" w:cs="Calibri" w:eastAsia="Calibri" w:hAnsi="Calibri"/>
          <w:color w:val="1F1F1F"/>
          <w:sz w:val="20"/>
          <w:szCs w:val="20"/>
        </w:rPr>
        <w:t xml:space="preserve">Two research passes were run against South African primary sources. The research tooling could not open primary documents directly — SAFLII, gov.za and law-firm sites were all blocked at the network layer — so everything below comes from search-index extraction of those sources rather than from reading the judgments and the Gazette. </w:t>
      </w:r>
      <w:r>
        <w:rPr>
          <w:rFonts w:ascii="Calibri" w:cs="Calibri" w:eastAsia="Calibri" w:hAnsi="Calibri"/>
          <w:b/>
          <w:bCs/>
          <w:color w:val="1F1F1F"/>
          <w:sz w:val="20"/>
          <w:szCs w:val="20"/>
        </w:rPr>
        <w:t xml:space="preserve">It is good enough to negotiate from and to brief our attorney with. It is not good enough to cite in correspondence without CST Law confirming the citations first.</w:t>
      </w:r>
    </w:p>
    <w:p>
      <w:pPr>
        <w:spacing w:after="140"/>
      </w:pPr>
      <w:r>
        <w:rPr>
          <w:rFonts w:ascii="Calibri" w:cs="Calibri" w:eastAsia="Calibri" w:hAnsi="Calibri"/>
          <w:color w:val="1F1F1F"/>
          <w:sz w:val="2"/>
          <w:szCs w:val="2"/>
        </w:rPr>
        <w:t xml:space="preserve"/>
      </w:r>
    </w:p>
    <w:p>
      <w:pPr>
        <w:pStyle w:val="Heading2"/>
        <w:spacing w:after="100" w:before="260"/>
      </w:pPr>
      <w:r>
        <w:rPr>
          <w:rFonts w:ascii="Calibri" w:cs="Calibri" w:eastAsia="Calibri" w:hAnsi="Calibri"/>
          <w:b/>
          <w:bCs/>
          <w:color w:val="1F1F1F"/>
          <w:sz w:val="23"/>
          <w:szCs w:val="23"/>
        </w:rPr>
        <w:t xml:space="preserve">9.1  Interest — why Regulation 40 is the argument, not the rate cap</w:t>
      </w:r>
    </w:p>
    <w:tbl>
      <w:tblPr>
        <w:tblW w:type="dxa" w:w="9026"/>
        <w:tblBorders>
          <w:top w:val="single" w:color="D8D2CA" w:sz="4"/>
          <w:left w:val="single" w:color="D8D2CA" w:sz="4"/>
          <w:bottom w:val="single" w:color="D8D2CA" w:sz="4"/>
          <w:right w:val="single" w:color="D8D2CA" w:sz="4"/>
          <w:insideH w:val="single" w:color="D8D2CA" w:sz="4"/>
          <w:insideV w:val="single" w:color="D8D2CA" w:sz="4"/>
        </w:tblBorders>
      </w:tblPr>
      <w:tblGrid>
        <w:gridCol w:w="2600"/>
        <w:gridCol w:w="6426"/>
      </w:tblGrid>
      <w:tr>
        <w:trPr>
          <w:tblHeader/>
        </w:trPr>
        <w:tc>
          <w:tcPr>
            <w:tcW w:type="dxa" w:w="2600"/>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Point</w:t>
            </w:r>
          </w:p>
        </w:tc>
        <w:tc>
          <w:tcPr>
            <w:tcW w:type="dxa" w:w="6426"/>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Position</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Reg 42 maximum rates (agreements from 6 May 2016, GN R1080 GG 39379)</w:t>
            </w:r>
          </w:p>
        </w:tc>
        <w:tc>
          <w:tcPr>
            <w:tcW w:type="dxa" w:w="64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Mortgage RR+12% · Credit facility RR+14% · Unsecured RR+21% · Developmental RR+27% · Other credit agreement RR+17% · Short-term 5%/month first loan · Incidental 2%/month</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Repo rate</w:t>
            </w:r>
          </w:p>
        </w:tc>
        <w:tc>
          <w:tcPr>
            <w:tcW w:type="dxa" w:w="64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7.00% (prime 10.50%). Last MPC 23 July 2026 — hold, on a 4–2 split. Previous move 28 May 2026, +25bp from 6.75%.</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Resulting caps</w:t>
            </w:r>
          </w:p>
        </w:tc>
        <w:tc>
          <w:tcPr>
            <w:tcW w:type="dxa" w:w="64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Credit facility 21.00% · Other credit agreement 24.00%</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Reg 40 — capitalisation</w:t>
            </w:r>
          </w:p>
        </w:tc>
        <w:tc>
          <w:tcPr>
            <w:tcW w:type="dxa" w:w="64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Interest must be calculated daily but added to the deferred amount only once, at the end of the month. Daily capitalisation is not permitted.</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bCs/>
                <w:color w:val="1F1F1F"/>
                <w:sz w:val="19"/>
                <w:szCs w:val="19"/>
              </w:rPr>
              <w:t xml:space="preserve">Nominal or effective?</w:t>
            </w:r>
          </w:p>
        </w:tc>
        <w:tc>
          <w:tcPr>
            <w:tcW w:type="dxa" w:w="6426"/>
            <w:tcMar>
              <w:top w:type="dxa" w:w="90"/>
              <w:left w:type="dxa" w:w="120"/>
              <w:bottom w:type="dxa" w:w="90"/>
              <w:right w:type="dxa" w:w="120"/>
            </w:tcMar>
          </w:tcPr>
          <w:p>
            <w:pPr>
              <w:spacing w:after="0" w:line="260"/>
            </w:pPr>
            <w:r>
              <w:rPr>
                <w:rFonts w:ascii="Calibri" w:cs="Calibri" w:eastAsia="Calibri" w:hAnsi="Calibri"/>
                <w:b w:val="false"/>
                <w:bCs w:val="false"/>
                <w:color w:val="1F1F1F"/>
                <w:sz w:val="19"/>
                <w:szCs w:val="19"/>
              </w:rPr>
              <w:t xml:space="preserve">Unresolved. No NCR circular, guidance note or reported decision found either way.</w:t>
            </w:r>
          </w:p>
        </w:tc>
      </w:tr>
    </w:tbl>
    <w:p>
      <w:pPr>
        <w:spacing w:after="120"/>
      </w:pPr>
      <w:r>
        <w:rPr>
          <w:rFonts w:ascii="Calibri" w:cs="Calibri" w:eastAsia="Calibri" w:hAnsi="Calibri"/>
          <w:color w:val="1F1F1F"/>
          <w:sz w:val="2"/>
          <w:szCs w:val="2"/>
        </w:rPr>
        <w:t xml:space="preserve"/>
      </w:r>
    </w:p>
    <w:p>
      <w:pPr>
        <w:spacing w:after="120" w:line="276"/>
      </w:pPr>
      <w:r>
        <w:rPr>
          <w:rFonts w:ascii="Calibri" w:cs="Calibri" w:eastAsia="Calibri" w:hAnsi="Calibri"/>
          <w:color w:val="1F1F1F"/>
          <w:sz w:val="20"/>
          <w:szCs w:val="20"/>
        </w:rPr>
        <w:t xml:space="preserve">Three things follow, and one is a question for Plane Tree:</w:t>
      </w:r>
    </w:p>
    <w:p>
      <w:pPr>
        <w:pStyle w:val="ListParagraph"/>
        <w:numPr>
          <w:ilvl w:val="0"/>
          <w:numId w:val="3"/>
        </w:numPr>
        <w:spacing w:after="70" w:line="270"/>
      </w:pPr>
      <w:r>
        <w:rPr>
          <w:rFonts w:ascii="Calibri" w:cs="Calibri" w:eastAsia="Calibri" w:hAnsi="Calibri"/>
          <w:b/>
          <w:bCs/>
          <w:color w:val="1F1F1F"/>
          <w:sz w:val="20"/>
          <w:szCs w:val="20"/>
        </w:rPr>
        <w:t xml:space="preserve">Their attorney has applied the credit facility cap</w:t>
      </w:r>
      <w:r>
        <w:rPr>
          <w:rFonts w:ascii="Calibri" w:cs="Calibri" w:eastAsia="Calibri" w:hAnsi="Calibri"/>
          <w:color w:val="1F1F1F"/>
          <w:sz w:val="20"/>
          <w:szCs w:val="20"/>
        </w:rPr>
        <w:t xml:space="preserve"> (RR+14% = 21.00%). But this is a once-off R2.4m secured loan repayable in instalments, which looks much more like a secured loan or "other credit agreement" (RR+17% = 24.00%) than a credit facility under s8(3). Either their cap reasoning is wrong, or the agreement is mis-classified. Worth asking — not to invite a higher rate, but because it tells us how carefully this has been thought through.</w:t>
      </w:r>
    </w:p>
    <w:p>
      <w:pPr>
        <w:pStyle w:val="ListParagraph"/>
        <w:numPr>
          <w:ilvl w:val="0"/>
          <w:numId w:val="3"/>
        </w:numPr>
        <w:spacing w:after="70" w:line="270"/>
      </w:pPr>
      <w:r>
        <w:rPr>
          <w:rFonts w:ascii="Calibri" w:cs="Calibri" w:eastAsia="Calibri" w:hAnsi="Calibri"/>
          <w:b/>
          <w:bCs/>
          <w:color w:val="1F1F1F"/>
          <w:sz w:val="20"/>
          <w:szCs w:val="20"/>
        </w:rPr>
        <w:t xml:space="preserve">At 21.00% the headline sits exactly on the credit-facility cap. There is zero headroom</w:t>
      </w:r>
      <w:r>
        <w:rPr>
          <w:rFonts w:ascii="Calibri" w:cs="Calibri" w:eastAsia="Calibri" w:hAnsi="Calibri"/>
          <w:color w:val="1F1F1F"/>
          <w:sz w:val="20"/>
          <w:szCs w:val="20"/>
        </w:rPr>
        <w:t xml:space="preserve"> — and the cap is fixed by the repo rate at the time credit is granted, not today’s. If drawdown had fallen before 28 May 2026 (repo 6.75%) the cap would have been 20.75% and 21% would already have been over it. Establish the grant date before running any of this arithmetic.</w:t>
      </w:r>
    </w:p>
    <w:p>
      <w:pPr>
        <w:pStyle w:val="ListParagraph"/>
        <w:numPr>
          <w:ilvl w:val="0"/>
          <w:numId w:val="3"/>
        </w:numPr>
        <w:spacing w:after="70" w:line="270"/>
      </w:pPr>
      <w:r>
        <w:rPr>
          <w:rFonts w:ascii="Calibri" w:cs="Calibri" w:eastAsia="Calibri" w:hAnsi="Calibri"/>
          <w:b/>
          <w:bCs/>
          <w:color w:val="1F1F1F"/>
          <w:sz w:val="20"/>
          <w:szCs w:val="20"/>
        </w:rPr>
        <w:t xml:space="preserve">So do not argue the cap — argue Reg 40.</w:t>
      </w:r>
      <w:r>
        <w:rPr>
          <w:rFonts w:ascii="Calibri" w:cs="Calibri" w:eastAsia="Calibri" w:hAnsi="Calibri"/>
          <w:color w:val="1F1F1F"/>
          <w:sz w:val="20"/>
          <w:szCs w:val="20"/>
        </w:rPr>
        <w:t xml:space="preserve"> Daily capitalisation is impermissible whatever the rate, and the excess it produces is an amount charged in contravention of s100(1)(c). In </w:t>
      </w:r>
      <w:r>
        <w:rPr>
          <w:rFonts w:ascii="Calibri" w:cs="Calibri" w:eastAsia="Calibri" w:hAnsi="Calibri"/>
          <w:i/>
          <w:iCs/>
          <w:color w:val="1F1F1F"/>
          <w:sz w:val="20"/>
          <w:szCs w:val="20"/>
        </w:rPr>
        <w:t xml:space="preserve">Loan Company (Pty) Ltd v NCR</w:t>
      </w:r>
      <w:r>
        <w:rPr>
          <w:rFonts w:ascii="Calibri" w:cs="Calibri" w:eastAsia="Calibri" w:hAnsi="Calibri"/>
          <w:color w:val="1F1F1F"/>
          <w:sz w:val="20"/>
          <w:szCs w:val="20"/>
        </w:rPr>
        <w:t xml:space="preserve"> [2025] ZASCA 40 the SCA measured a s100(1)(c)/(d) contravention by what was actually charged under the Reg 40 mechanics, not by the stated rate. Tribunal remedies in that line run to declaring agreements void, ordering refunds, and a s151 administrative fine. This argument does not depend on the unresolved nominal/effective question.</w:t>
      </w:r>
    </w:p>
    <w:p>
      <w:pPr>
        <w:pStyle w:val="Heading2"/>
        <w:spacing w:after="100" w:before="260"/>
      </w:pPr>
      <w:r>
        <w:rPr>
          <w:rFonts w:ascii="Calibri" w:cs="Calibri" w:eastAsia="Calibri" w:hAnsi="Calibri"/>
          <w:b/>
          <w:bCs/>
          <w:color w:val="1F1F1F"/>
          <w:sz w:val="23"/>
          <w:szCs w:val="23"/>
        </w:rPr>
        <w:t xml:space="preserve">9.2  Authorities relied on elsewhere in this review</w:t>
      </w:r>
    </w:p>
    <w:tbl>
      <w:tblPr>
        <w:tblW w:type="dxa" w:w="9026"/>
        <w:tblBorders>
          <w:top w:val="single" w:color="D8D2CA" w:sz="4"/>
          <w:left w:val="single" w:color="D8D2CA" w:sz="4"/>
          <w:bottom w:val="single" w:color="D8D2CA" w:sz="4"/>
          <w:right w:val="single" w:color="D8D2CA" w:sz="4"/>
          <w:insideH w:val="single" w:color="D8D2CA" w:sz="4"/>
          <w:insideV w:val="single" w:color="D8D2CA" w:sz="4"/>
        </w:tblBorders>
      </w:tblPr>
      <w:tblGrid>
        <w:gridCol w:w="1500"/>
        <w:gridCol w:w="5626"/>
        <w:gridCol w:w="1900"/>
      </w:tblGrid>
      <w:tr>
        <w:trPr>
          <w:tblHeader/>
        </w:trPr>
        <w:tc>
          <w:tcPr>
            <w:tcW w:type="dxa" w:w="1500"/>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Area</w:t>
            </w:r>
          </w:p>
        </w:tc>
        <w:tc>
          <w:tcPr>
            <w:tcW w:type="dxa" w:w="5626"/>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Authority</w:t>
            </w:r>
          </w:p>
        </w:tc>
        <w:tc>
          <w:tcPr>
            <w:tcW w:type="dxa" w:w="1900"/>
            <w:shd w:fill="F5F2EE" w:color="auto" w:val="clear"/>
            <w:tcMar>
              <w:top w:type="dxa" w:w="90"/>
              <w:left w:type="dxa" w:w="120"/>
              <w:bottom w:type="dxa" w:w="90"/>
              <w:right w:type="dxa" w:w="120"/>
            </w:tcMar>
          </w:tcPr>
          <w:p>
            <w:pPr>
              <w:spacing w:after="0" w:line="260"/>
            </w:pPr>
            <w:r>
              <w:rPr>
                <w:rFonts w:ascii="Calibri" w:cs="Calibri" w:eastAsia="Calibri" w:hAnsi="Calibri"/>
                <w:b/>
                <w:bCs/>
                <w:color w:val="666057"/>
                <w:sz w:val="16"/>
                <w:szCs w:val="16"/>
              </w:rPr>
              <w:t xml:space="preserve">Used at</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Charges and fees</w:t>
            </w:r>
          </w:p>
        </w:tc>
        <w:tc>
          <w:tcPr>
            <w:tcW w:type="dxa" w:w="56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NCR v National Consumer Tribunal [2025] ZASCA 132; 2026 (2) SA 455 (SCA) — s101(1) with s102(1) is a closed list; substance over label</w:t>
            </w:r>
          </w:p>
        </w:tc>
        <w:tc>
          <w:tcPr>
            <w:tcW w:type="dxa" w:w="19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3</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
            </w:r>
          </w:p>
        </w:tc>
        <w:tc>
          <w:tcPr>
            <w:tcW w:type="dxa" w:w="56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Uys NO v NCR [2025] ZASCA 34 — structuring to avoid the NCA is not per se unlawful; simulation needs shared dishonest intent</w:t>
            </w:r>
          </w:p>
        </w:tc>
        <w:tc>
          <w:tcPr>
            <w:tcW w:type="dxa" w:w="19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3</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
            </w:r>
          </w:p>
        </w:tc>
        <w:tc>
          <w:tcPr>
            <w:tcW w:type="dxa" w:w="56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Bayport Securitisation v University of Stellenbosch Law Clinic [2021] ZASCA 156 (CC leave refused) — collection costs are not litigation costs; s103(5) does not apply post-judgment</w:t>
            </w:r>
          </w:p>
        </w:tc>
        <w:tc>
          <w:tcPr>
            <w:tcW w:type="dxa" w:w="19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4.7</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
            </w:r>
          </w:p>
        </w:tc>
        <w:tc>
          <w:tcPr>
            <w:tcW w:type="dxa" w:w="56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s103(5) — statutory in duplum is wider than the common-law rule: caps all of s101(1)(b)–(g) in aggregate at the unpaid principal as at the moment default occurs. Mapping: (f) is default administration charges, (g) is collection costs</w:t>
            </w:r>
          </w:p>
        </w:tc>
        <w:tc>
          <w:tcPr>
            <w:tcW w:type="dxa" w:w="19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4.7</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Enforcement and unlawful provisions</w:t>
            </w:r>
          </w:p>
        </w:tc>
        <w:tc>
          <w:tcPr>
            <w:tcW w:type="dxa" w:w="56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s130(3) — "despite any provision of law or contract to the contrary"; s130(4) requires adjournment</w:t>
            </w:r>
          </w:p>
        </w:tc>
        <w:tc>
          <w:tcPr>
            <w:tcW w:type="dxa" w:w="19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5.3</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
            </w:r>
          </w:p>
        </w:tc>
        <w:tc>
          <w:tcPr>
            <w:tcW w:type="dxa" w:w="56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Chief Lesapo v North West Agricultural Bank [1999] ZACC 16; 2000 (1) SA 409 (CC) — seizure from a debtor in possession without a court order infringes s34 of the Constitution</w:t>
            </w:r>
          </w:p>
        </w:tc>
        <w:tc>
          <w:tcPr>
            <w:tcW w:type="dxa" w:w="19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5.3</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
            </w:r>
          </w:p>
        </w:tc>
        <w:tc>
          <w:tcPr>
            <w:tcW w:type="dxa" w:w="56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Juglal NO v Shoprite Checkers 2004 (5) SA 248 (SCA) — parate executie clauses valid, but a court refuses effect to unconscionable implementation</w:t>
            </w:r>
          </w:p>
        </w:tc>
        <w:tc>
          <w:tcPr>
            <w:tcW w:type="dxa" w:w="19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5.3</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
            </w:r>
          </w:p>
        </w:tc>
        <w:tc>
          <w:tcPr>
            <w:tcW w:type="dxa" w:w="56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Absa Bank Ltd v Serfontein (SCA, 10 Feb 2025) — separate AOD and POA an unlawful supplementary agreement under s91; s90(2)(j), (k), (a)(i); unseverable; sale void ab initio</w:t>
            </w:r>
          </w:p>
        </w:tc>
        <w:tc>
          <w:tcPr>
            <w:tcW w:type="dxa" w:w="19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3, 5.3, 5.7</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
            </w:r>
          </w:p>
        </w:tc>
        <w:tc>
          <w:tcPr>
            <w:tcW w:type="dxa" w:w="56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s90(3)/(4) — an unlawful provision is void from inception; the court may sever it or declare the whole agreement unlawful</w:t>
            </w:r>
          </w:p>
        </w:tc>
        <w:tc>
          <w:tcPr>
            <w:tcW w:type="dxa" w:w="19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5.3</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
            </w:r>
          </w:p>
        </w:tc>
        <w:tc>
          <w:tcPr>
            <w:tcW w:type="dxa" w:w="56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Ex parte Minister of Justice: In re Nedbank v Abstein Distributors [1995] ZASCA 40; 1995 (3) SA 1 (A) — a conclusive-proof clause authored by the creditor is void; prima facie clauses survive</w:t>
            </w:r>
          </w:p>
        </w:tc>
        <w:tc>
          <w:tcPr>
            <w:tcW w:type="dxa" w:w="19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4.5, 5.6</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
            </w:r>
          </w:p>
        </w:tc>
        <w:tc>
          <w:tcPr>
            <w:tcW w:type="dxa" w:w="56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NCR v Standard Bank [2019] ZAGPJHC 182; 2019 (5) SA 512 (GJ) — common-law set-off ousted for NCA agreements by ss90(2)(n) and 124</w:t>
            </w:r>
          </w:p>
        </w:tc>
        <w:tc>
          <w:tcPr>
            <w:tcW w:type="dxa" w:w="19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5.11</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Cession and pledge</w:t>
            </w:r>
          </w:p>
        </w:tc>
        <w:tc>
          <w:tcPr>
            <w:tcW w:type="dxa" w:w="56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Grobler v Oosthuizen [2009] ZASCA 51; 2009 (5) SA 500 (SCA) — the two constructions; absent clear contrary intention the pledge construction applies; substance over form, following National Bank v Cohen’s Trustee 1911 AD 235</w:t>
            </w:r>
          </w:p>
        </w:tc>
        <w:tc>
          <w:tcPr>
            <w:tcW w:type="dxa" w:w="19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5.1</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
            </w:r>
          </w:p>
        </w:tc>
        <w:tc>
          <w:tcPr>
            <w:tcW w:type="dxa" w:w="56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Picardi Hotels v Thekweni Properties [2008] ZASCA 128; 2009 (1) SA 493 (SCA) — a security cession deprives the cedent of the right to recover the ceded debt</w:t>
            </w:r>
          </w:p>
        </w:tc>
        <w:tc>
          <w:tcPr>
            <w:tcW w:type="dxa" w:w="19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5.1</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
            </w:r>
          </w:p>
        </w:tc>
        <w:tc>
          <w:tcPr>
            <w:tcW w:type="dxa" w:w="56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First National Bank v Lynn NO [1995] ZASCA 158; 1996 (2) SA 339 (A) — a cession of future rights takes effect only as the right comes into existence</w:t>
            </w:r>
          </w:p>
        </w:tc>
        <w:tc>
          <w:tcPr>
            <w:tcW w:type="dxa" w:w="19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5.1</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
            </w:r>
          </w:p>
        </w:tc>
        <w:tc>
          <w:tcPr>
            <w:tcW w:type="dxa" w:w="56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Vasco Dry Cleaners v Twycross 1979 (1) SA 603 (A) — constitutum possessorium not permitted; no delivery, no real security right</w:t>
            </w:r>
          </w:p>
        </w:tc>
        <w:tc>
          <w:tcPr>
            <w:tcW w:type="dxa" w:w="19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5.5</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
            </w:r>
          </w:p>
        </w:tc>
        <w:tc>
          <w:tcPr>
            <w:tcW w:type="dxa" w:w="56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Ikea Trading und Design AG v BOE Bank [2004] ZASCA 27; 2005 (2) SA 7 (SCA) — a special notarial bond must describe property so it is "readily recognisable from the bond alone"</w:t>
            </w:r>
          </w:p>
        </w:tc>
        <w:tc>
          <w:tcPr>
            <w:tcW w:type="dxa" w:w="19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5.5</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
            </w:r>
          </w:p>
        </w:tc>
        <w:tc>
          <w:tcPr>
            <w:tcW w:type="dxa" w:w="56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Development Bank of Southern Africa v Van Rensburg NO [2002] ZASCA 39 — a general notarial bond gives no real right until perfected by taking possession</w:t>
            </w:r>
          </w:p>
        </w:tc>
        <w:tc>
          <w:tcPr>
            <w:tcW w:type="dxa" w:w="19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5.5</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
            </w:r>
          </w:p>
        </w:tc>
        <w:tc>
          <w:tcPr>
            <w:tcW w:type="dxa" w:w="56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Mapenduka v Ashington 1919 AD 343 · Graf v Buechel [2003] ZASCA 29 · Bock v Duburoro Investments [2003] ZASCA 94 — pactum commissorium void, but take-over at a fair price with surplus paid over is valid</w:t>
            </w:r>
          </w:p>
        </w:tc>
        <w:tc>
          <w:tcPr>
            <w:tcW w:type="dxa" w:w="19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5.6</w:t>
            </w:r>
          </w:p>
        </w:tc>
      </w:tr>
      <w:tr>
        <w:trPr>
          <w:tblHeader w:val="false"/>
        </w:trPr>
        <w:tc>
          <w:tcPr>
            <w:tcW w:type="dxa" w:w="15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Reckless credit</w:t>
            </w:r>
          </w:p>
        </w:tc>
        <w:tc>
          <w:tcPr>
            <w:tcW w:type="dxa" w:w="5626"/>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s80(1)(a), s82, Reg 23A; s83(2)–(3) relief; s84 — during suspension no interest, fee or charge may be charged; s81(4) defence requires that requests for information were actually made</w:t>
            </w:r>
          </w:p>
        </w:tc>
        <w:tc>
          <w:tcPr>
            <w:tcW w:type="dxa" w:w="1900"/>
            <w:tcMar>
              <w:top w:type="dxa" w:w="90"/>
              <w:left w:type="dxa" w:w="120"/>
              <w:bottom w:type="dxa" w:w="90"/>
              <w:right w:type="dxa" w:w="120"/>
            </w:tcMar>
          </w:tcPr>
          <w:p>
            <w:pPr>
              <w:spacing w:after="0" w:line="260"/>
            </w:pPr>
            <w:r>
              <w:rPr>
                <w:rFonts w:ascii="Calibri" w:cs="Calibri" w:eastAsia="Calibri" w:hAnsi="Calibri"/>
                <w:color w:val="1F1F1F"/>
                <w:sz w:val="19"/>
                <w:szCs w:val="19"/>
              </w:rPr>
              <w:t xml:space="preserve">4.11</w:t>
            </w:r>
          </w:p>
        </w:tc>
      </w:tr>
    </w:tbl>
    <w:p>
      <w:pPr>
        <w:pStyle w:val="Heading2"/>
        <w:spacing w:after="100" w:before="260"/>
      </w:pPr>
      <w:r>
        <w:rPr>
          <w:rFonts w:ascii="Calibri" w:cs="Calibri" w:eastAsia="Calibri" w:hAnsi="Calibri"/>
          <w:b/>
          <w:bCs/>
          <w:color w:val="1F1F1F"/>
          <w:sz w:val="23"/>
          <w:szCs w:val="23"/>
        </w:rPr>
        <w:t xml:space="preserve">9.3  What could NOT be verified — flag these to CST Law</w:t>
      </w:r>
    </w:p>
    <w:p>
      <w:pPr>
        <w:spacing w:after="120" w:line="276"/>
      </w:pPr>
      <w:r>
        <w:rPr>
          <w:rFonts w:ascii="Calibri" w:cs="Calibri" w:eastAsia="Calibri" w:hAnsi="Calibri"/>
          <w:color w:val="1F1F1F"/>
          <w:sz w:val="20"/>
          <w:szCs w:val="20"/>
        </w:rPr>
        <w:t xml:space="preserve">Neither research pass could open a primary document. The following need checking against the Gazette and SAFLII before any of it goes into correspondence:</w:t>
      </w:r>
    </w:p>
    <w:p>
      <w:pPr>
        <w:pStyle w:val="ListParagraph"/>
        <w:numPr>
          <w:ilvl w:val="0"/>
          <w:numId w:val="2"/>
        </w:numPr>
        <w:spacing w:after="70" w:line="270"/>
      </w:pPr>
      <w:r>
        <w:rPr>
          <w:rFonts w:ascii="Calibri" w:cs="Calibri" w:eastAsia="Calibri" w:hAnsi="Calibri"/>
          <w:b/>
          <w:bCs/>
          <w:color w:val="A32E2E"/>
          <w:sz w:val="20"/>
          <w:szCs w:val="20"/>
        </w:rPr>
        <w:t xml:space="preserve">The Absa Bank Ltd v Serfontein citation. </w:t>
      </w:r>
      <w:r>
        <w:rPr>
          <w:rFonts w:ascii="Calibri" w:cs="Calibri" w:eastAsia="Calibri" w:hAnsi="Calibri"/>
          <w:color w:val="1F1F1F"/>
          <w:sz w:val="20"/>
          <w:szCs w:val="20"/>
        </w:rPr>
        <w:t xml:space="preserve">The name, date (10 February 2025) and holdings come from three independent law-firm commentaries; the neutral citation and case number were not found and the judgment was not read. This is the authority doing the most work in sections 3, 5.3 and 5.7 — confirm it first.</w:t>
      </w:r>
    </w:p>
    <w:p>
      <w:pPr>
        <w:pStyle w:val="ListParagraph"/>
        <w:numPr>
          <w:ilvl w:val="0"/>
          <w:numId w:val="2"/>
        </w:numPr>
        <w:spacing w:after="70" w:line="270"/>
      </w:pPr>
      <w:r>
        <w:rPr>
          <w:rFonts w:ascii="Calibri" w:cs="Calibri" w:eastAsia="Calibri" w:hAnsi="Calibri"/>
          <w:b/>
          <w:bCs/>
          <w:color w:val="1F1F1F"/>
          <w:sz w:val="20"/>
          <w:szCs w:val="20"/>
        </w:rPr>
        <w:t xml:space="preserve">Verbatim Regulation 40, </w:t>
      </w:r>
      <w:r>
        <w:rPr>
          <w:rFonts w:ascii="Calibri" w:cs="Calibri" w:eastAsia="Calibri" w:hAnsi="Calibri"/>
          <w:color w:val="1F1F1F"/>
          <w:sz w:val="20"/>
          <w:szCs w:val="20"/>
        </w:rPr>
        <w:t xml:space="preserve">including sub-regulation numbering. The daily-calculation / monthly-capitalisation rule is consistently reported by the Tribunal and the SCA, but the primary text was never seen.</w:t>
      </w:r>
    </w:p>
    <w:p>
      <w:pPr>
        <w:pStyle w:val="ListParagraph"/>
        <w:numPr>
          <w:ilvl w:val="0"/>
          <w:numId w:val="2"/>
        </w:numPr>
        <w:spacing w:after="70" w:line="270"/>
      </w:pPr>
      <w:r>
        <w:rPr>
          <w:rFonts w:ascii="Calibri" w:cs="Calibri" w:eastAsia="Calibri" w:hAnsi="Calibri"/>
          <w:b/>
          <w:bCs/>
          <w:color w:val="1F1F1F"/>
          <w:sz w:val="20"/>
          <w:szCs w:val="20"/>
        </w:rPr>
        <w:t xml:space="preserve">The full s90(2) paragraph letters. </w:t>
      </w:r>
      <w:r>
        <w:rPr>
          <w:rFonts w:ascii="Calibri" w:cs="Calibri" w:eastAsia="Calibri" w:hAnsi="Calibri"/>
          <w:color w:val="1F1F1F"/>
          <w:sz w:val="20"/>
          <w:szCs w:val="20"/>
        </w:rPr>
        <w:t xml:space="preserve">Only (a)(i), (c), (f), (j), (k) and (n) were confirmed; (l), (m) and (o) could not be identified. Do not cite paragraph letters without checking the Act.</w:t>
      </w:r>
    </w:p>
    <w:p>
      <w:pPr>
        <w:pStyle w:val="ListParagraph"/>
        <w:numPr>
          <w:ilvl w:val="0"/>
          <w:numId w:val="2"/>
        </w:numPr>
        <w:spacing w:after="70" w:line="270"/>
      </w:pPr>
      <w:r>
        <w:rPr>
          <w:rFonts w:ascii="Calibri" w:cs="Calibri" w:eastAsia="Calibri" w:hAnsi="Calibri"/>
          <w:b/>
          <w:bCs/>
          <w:color w:val="1F1F1F"/>
          <w:sz w:val="20"/>
          <w:szCs w:val="20"/>
        </w:rPr>
        <w:t xml:space="preserve">Regulation 42 entries for "other credit agreements" (RR+17%) and developmental credit (RR+27%) </w:t>
      </w:r>
      <w:r>
        <w:rPr>
          <w:rFonts w:ascii="Calibri" w:cs="Calibri" w:eastAsia="Calibri" w:hAnsi="Calibri"/>
          <w:color w:val="1F1F1F"/>
          <w:sz w:val="20"/>
          <w:szCs w:val="20"/>
        </w:rPr>
        <w:t xml:space="preserve">— fewer corroborating sources than the mortgage, facility and unsecured entries. And whether Reg 42 has been amended at all since 6 May 2016 could not be confirmed as a negative.</w:t>
      </w:r>
    </w:p>
    <w:p>
      <w:pPr>
        <w:pStyle w:val="ListParagraph"/>
        <w:numPr>
          <w:ilvl w:val="0"/>
          <w:numId w:val="2"/>
        </w:numPr>
        <w:spacing w:after="70" w:line="270"/>
      </w:pPr>
      <w:r>
        <w:rPr>
          <w:rFonts w:ascii="Calibri" w:cs="Calibri" w:eastAsia="Calibri" w:hAnsi="Calibri"/>
          <w:b/>
          <w:bCs/>
          <w:color w:val="1F1F1F"/>
          <w:sz w:val="20"/>
          <w:szCs w:val="20"/>
        </w:rPr>
        <w:t xml:space="preserve">Whether the Reg 42 cap attaches to the nominal or the effective annual rate </w:t>
      </w:r>
      <w:r>
        <w:rPr>
          <w:rFonts w:ascii="Calibri" w:cs="Calibri" w:eastAsia="Calibri" w:hAnsi="Calibri"/>
          <w:color w:val="1F1F1F"/>
          <w:sz w:val="20"/>
          <w:szCs w:val="20"/>
        </w:rPr>
        <w:t xml:space="preserve">— a genuine gap in the material. Hence the Regulation 40 framing in section 9.1.</w:t>
      </w:r>
    </w:p>
    <w:p>
      <w:pPr>
        <w:pStyle w:val="ListParagraph"/>
        <w:numPr>
          <w:ilvl w:val="0"/>
          <w:numId w:val="2"/>
        </w:numPr>
        <w:spacing w:after="70" w:line="270"/>
      </w:pPr>
      <w:r>
        <w:rPr>
          <w:rFonts w:ascii="Calibri" w:cs="Calibri" w:eastAsia="Calibri" w:hAnsi="Calibri"/>
          <w:b/>
          <w:bCs/>
          <w:color w:val="1F1F1F"/>
          <w:sz w:val="20"/>
          <w:szCs w:val="20"/>
        </w:rPr>
        <w:t xml:space="preserve">Exact wording of s101(2), the full s102(1) item list, s84, and the s92(3) binding period.</w:t>
      </w:r>
    </w:p>
    <w:p>
      <w:pPr>
        <w:pStyle w:val="ListParagraph"/>
        <w:numPr>
          <w:ilvl w:val="0"/>
          <w:numId w:val="2"/>
        </w:numPr>
        <w:spacing w:after="70" w:line="270"/>
      </w:pPr>
      <w:r>
        <w:rPr>
          <w:rFonts w:ascii="Calibri" w:cs="Calibri" w:eastAsia="Calibri" w:hAnsi="Calibri"/>
          <w:b/>
          <w:bCs/>
          <w:color w:val="1F1F1F"/>
          <w:sz w:val="20"/>
          <w:szCs w:val="20"/>
        </w:rPr>
        <w:t xml:space="preserve">No authority found either way on a valuation by the creditor’s own auditor. </w:t>
      </w:r>
      <w:r>
        <w:rPr>
          <w:rFonts w:ascii="Calibri" w:cs="Calibri" w:eastAsia="Calibri" w:hAnsi="Calibri"/>
          <w:color w:val="1F1F1F"/>
          <w:sz w:val="20"/>
          <w:szCs w:val="20"/>
        </w:rPr>
        <w:t xml:space="preserve">The Abstein analogy in section 5.6 is reasoning, not a holding.</w:t>
      </w:r>
    </w:p>
    <w:p>
      <w:pPr>
        <w:pStyle w:val="ListParagraph"/>
        <w:numPr>
          <w:ilvl w:val="0"/>
          <w:numId w:val="2"/>
        </w:numPr>
        <w:spacing w:after="70" w:line="270"/>
      </w:pPr>
      <w:r>
        <w:rPr>
          <w:rFonts w:ascii="Calibri" w:cs="Calibri" w:eastAsia="Calibri" w:hAnsi="Calibri"/>
          <w:b/>
          <w:bCs/>
          <w:color w:val="1F1F1F"/>
          <w:sz w:val="20"/>
          <w:szCs w:val="20"/>
        </w:rPr>
        <w:t xml:space="preserve">No authority found on invoicing an associated company to circumvent s100. </w:t>
      </w:r>
      <w:r>
        <w:rPr>
          <w:rFonts w:ascii="Calibri" w:cs="Calibri" w:eastAsia="Calibri" w:hAnsi="Calibri"/>
          <w:color w:val="1F1F1F"/>
          <w:sz w:val="20"/>
          <w:szCs w:val="20"/>
        </w:rPr>
        <w:t xml:space="preserve">The section 3 analysis is inferential from s90(2)(a)(i), s100(1), NCR v NCT and Uys.</w:t>
      </w:r>
    </w:p>
    <w:p>
      <w:pPr>
        <w:pStyle w:val="ListParagraph"/>
        <w:numPr>
          <w:ilvl w:val="0"/>
          <w:numId w:val="2"/>
        </w:numPr>
        <w:spacing w:after="70" w:line="270"/>
      </w:pPr>
      <w:r>
        <w:rPr>
          <w:rFonts w:ascii="Calibri" w:cs="Calibri" w:eastAsia="Calibri" w:hAnsi="Calibri"/>
          <w:b/>
          <w:bCs/>
          <w:color w:val="1F1F1F"/>
          <w:sz w:val="20"/>
          <w:szCs w:val="20"/>
        </w:rPr>
        <w:t xml:space="preserve">Current initiation and service fee caps for 2026 </w:t>
      </w:r>
      <w:r>
        <w:rPr>
          <w:rFonts w:ascii="Calibri" w:cs="Calibri" w:eastAsia="Calibri" w:hAnsi="Calibri"/>
          <w:color w:val="1F1F1F"/>
          <w:sz w:val="20"/>
          <w:szCs w:val="20"/>
        </w:rPr>
        <w:t xml:space="preserve">— sources conflicted. Relevant if Plane Tree tries to reinstate a fee.</w:t>
      </w:r>
    </w:p>
    <w:p>
      <w:pPr>
        <w:pStyle w:val="ListParagraph"/>
        <w:numPr>
          <w:ilvl w:val="0"/>
          <w:numId w:val="2"/>
        </w:numPr>
        <w:spacing w:after="70" w:line="270"/>
      </w:pPr>
      <w:r>
        <w:rPr>
          <w:rFonts w:ascii="Calibri" w:cs="Calibri" w:eastAsia="Calibri" w:hAnsi="Calibri"/>
          <w:b/>
          <w:bCs/>
          <w:color w:val="1F1F1F"/>
          <w:sz w:val="20"/>
          <w:szCs w:val="20"/>
        </w:rPr>
        <w:t xml:space="preserve">s164 </w:t>
      </w:r>
      <w:r>
        <w:rPr>
          <w:rFonts w:ascii="Calibri" w:cs="Calibri" w:eastAsia="Calibri" w:hAnsi="Calibri"/>
          <w:color w:val="1F1F1F"/>
          <w:sz w:val="20"/>
          <w:szCs w:val="20"/>
        </w:rPr>
        <w:t xml:space="preserve">— sources conflict on whether it is "Agents" or "Civil actions and jurisdiction". Do not cite it.</w:t>
      </w:r>
    </w:p>
    <w:p>
      <w:pPr>
        <w:pStyle w:val="Heading1"/>
        <w:pBdr>
          <w:bottom w:val="single" w:color="A85A2E" w:sz="6" w:space="6"/>
        </w:pBdr>
        <w:spacing w:after="160" w:before="400"/>
      </w:pPr>
      <w:r>
        <w:rPr>
          <w:rFonts w:ascii="Calibri" w:cs="Calibri" w:eastAsia="Calibri" w:hAnsi="Calibri"/>
          <w:b/>
          <w:bCs/>
          <w:color w:val="1F1F1F"/>
          <w:sz w:val="30"/>
          <w:szCs w:val="30"/>
        </w:rPr>
        <w:t xml:space="preserve">10.  What is genuinely fine</w:t>
      </w:r>
    </w:p>
    <w:p>
      <w:pPr>
        <w:spacing w:after="120" w:line="276"/>
      </w:pPr>
      <w:r>
        <w:rPr>
          <w:rFonts w:ascii="Calibri" w:cs="Calibri" w:eastAsia="Calibri" w:hAnsi="Calibri"/>
          <w:color w:val="1F1F1F"/>
          <w:sz w:val="20"/>
          <w:szCs w:val="20"/>
        </w:rPr>
        <w:t xml:space="preserve">To keep this balanced — the drafting is competent and much of it is unobjectionable:</w:t>
      </w:r>
    </w:p>
    <w:p>
      <w:pPr>
        <w:pStyle w:val="ListParagraph"/>
        <w:numPr>
          <w:ilvl w:val="0"/>
          <w:numId w:val="3"/>
        </w:numPr>
        <w:spacing w:after="70" w:line="270"/>
      </w:pPr>
      <w:r>
        <w:rPr>
          <w:rFonts w:ascii="Calibri" w:cs="Calibri" w:eastAsia="Calibri" w:hAnsi="Calibri"/>
          <w:b/>
          <w:bCs/>
          <w:color w:val="1F1F1F"/>
          <w:sz w:val="20"/>
          <w:szCs w:val="20"/>
        </w:rPr>
        <w:t xml:space="preserve">Early settlement without penalty</w:t>
      </w:r>
      <w:r>
        <w:rPr>
          <w:rFonts w:ascii="Calibri" w:cs="Calibri" w:eastAsia="Calibri" w:hAnsi="Calibri"/>
          <w:color w:val="1F1F1F"/>
          <w:sz w:val="20"/>
          <w:szCs w:val="20"/>
        </w:rPr>
        <w:t xml:space="preserve"> (cl 8.5) and the settlement-amount right (cl 1.12) are real and useful to us.</w:t>
      </w:r>
    </w:p>
    <w:p>
      <w:pPr>
        <w:pStyle w:val="ListParagraph"/>
        <w:numPr>
          <w:ilvl w:val="0"/>
          <w:numId w:val="3"/>
        </w:numPr>
        <w:spacing w:after="70" w:line="270"/>
      </w:pPr>
      <w:r>
        <w:rPr>
          <w:rFonts w:ascii="Calibri" w:cs="Calibri" w:eastAsia="Calibri" w:hAnsi="Calibri"/>
          <w:b/>
          <w:bCs/>
          <w:color w:val="1F1F1F"/>
          <w:sz w:val="20"/>
          <w:szCs w:val="20"/>
        </w:rPr>
        <w:t xml:space="preserve">The NCA disclosure block</w:t>
      </w:r>
      <w:r>
        <w:rPr>
          <w:rFonts w:ascii="Calibri" w:cs="Calibri" w:eastAsia="Calibri" w:hAnsi="Calibri"/>
          <w:color w:val="1F1F1F"/>
          <w:sz w:val="20"/>
          <w:szCs w:val="20"/>
        </w:rPr>
        <w:t xml:space="preserve"> (cl 1), debt-counselling and complaints provisions are properly done, and cl 1’s statement that it prevails over conflicting provisions of the Loan Agreement is genuinely protective. We just need the same protection extended to the Pledge.</w:t>
      </w:r>
    </w:p>
    <w:p>
      <w:pPr>
        <w:pStyle w:val="ListParagraph"/>
        <w:numPr>
          <w:ilvl w:val="0"/>
          <w:numId w:val="3"/>
        </w:numPr>
        <w:spacing w:after="70" w:line="270"/>
      </w:pPr>
      <w:r>
        <w:rPr>
          <w:rFonts w:ascii="Calibri" w:cs="Calibri" w:eastAsia="Calibri" w:hAnsi="Calibri"/>
          <w:b/>
          <w:bCs/>
          <w:color w:val="1F1F1F"/>
          <w:sz w:val="20"/>
          <w:szCs w:val="20"/>
        </w:rPr>
        <w:t xml:space="preserve">The s129/s130 enforcement procedure</w:t>
      </w:r>
      <w:r>
        <w:rPr>
          <w:rFonts w:ascii="Calibri" w:cs="Calibri" w:eastAsia="Calibri" w:hAnsi="Calibri"/>
          <w:color w:val="1F1F1F"/>
          <w:sz w:val="20"/>
          <w:szCs w:val="20"/>
        </w:rPr>
        <w:t xml:space="preserve"> in Loan cl 19.2–19.5 is correctly stated, including the concurrent running of the periods and the s129(3) reinstatement right at cl 19.7.</w:t>
      </w:r>
    </w:p>
    <w:p>
      <w:pPr>
        <w:pStyle w:val="ListParagraph"/>
        <w:numPr>
          <w:ilvl w:val="0"/>
          <w:numId w:val="3"/>
        </w:numPr>
        <w:spacing w:after="70" w:line="270"/>
      </w:pPr>
      <w:r>
        <w:rPr>
          <w:rFonts w:ascii="Calibri" w:cs="Calibri" w:eastAsia="Calibri" w:hAnsi="Calibri"/>
          <w:b/>
          <w:bCs/>
          <w:color w:val="1F1F1F"/>
          <w:sz w:val="20"/>
          <w:szCs w:val="20"/>
        </w:rPr>
        <w:t xml:space="preserve">The payment waterfall</w:t>
      </w:r>
      <w:r>
        <w:rPr>
          <w:rFonts w:ascii="Calibri" w:cs="Calibri" w:eastAsia="Calibri" w:hAnsi="Calibri"/>
          <w:color w:val="1F1F1F"/>
          <w:sz w:val="20"/>
          <w:szCs w:val="20"/>
        </w:rPr>
        <w:t xml:space="preserve"> (interest, then fees, then capital — cl 8.3) is conventional, even if it is what drives the balloon.</w:t>
      </w:r>
    </w:p>
    <w:p>
      <w:pPr>
        <w:pStyle w:val="ListParagraph"/>
        <w:numPr>
          <w:ilvl w:val="0"/>
          <w:numId w:val="3"/>
        </w:numPr>
        <w:spacing w:after="70" w:line="270"/>
      </w:pPr>
      <w:r>
        <w:rPr>
          <w:rFonts w:ascii="Calibri" w:cs="Calibri" w:eastAsia="Calibri" w:hAnsi="Calibri"/>
          <w:b/>
          <w:bCs/>
          <w:color w:val="1F1F1F"/>
          <w:sz w:val="20"/>
          <w:szCs w:val="20"/>
        </w:rPr>
        <w:t xml:space="preserve">Interest is fixed, not linked to prime</w:t>
      </w:r>
      <w:r>
        <w:rPr>
          <w:rFonts w:ascii="Calibri" w:cs="Calibri" w:eastAsia="Calibri" w:hAnsi="Calibri"/>
          <w:color w:val="1F1F1F"/>
          <w:sz w:val="20"/>
          <w:szCs w:val="20"/>
        </w:rPr>
        <w:t xml:space="preserve"> — genuinely good for us in a rising-rate environment.</w:t>
      </w:r>
    </w:p>
    <w:p>
      <w:pPr>
        <w:pStyle w:val="ListParagraph"/>
        <w:numPr>
          <w:ilvl w:val="0"/>
          <w:numId w:val="3"/>
        </w:numPr>
        <w:spacing w:after="70" w:line="270"/>
      </w:pPr>
      <w:r>
        <w:rPr>
          <w:rFonts w:ascii="Calibri" w:cs="Calibri" w:eastAsia="Calibri" w:hAnsi="Calibri"/>
          <w:b/>
          <w:bCs/>
          <w:color w:val="1F1F1F"/>
          <w:sz w:val="20"/>
          <w:szCs w:val="20"/>
        </w:rPr>
        <w:t xml:space="preserve">Their attorney’s margin comments are candid</w:t>
      </w:r>
      <w:r>
        <w:rPr>
          <w:rFonts w:ascii="Calibri" w:cs="Calibri" w:eastAsia="Calibri" w:hAnsi="Calibri"/>
          <w:color w:val="1F1F1F"/>
          <w:sz w:val="20"/>
          <w:szCs w:val="20"/>
        </w:rPr>
        <w:t xml:space="preserve"> and, in two places, actively unhelpful to his own client. That suggests they are drafting in good faith rather than trying to slip something past us — a reason to negotiate hard, but not adversarially.</w:t>
      </w:r>
    </w:p>
    <w:p>
      <w:pPr>
        <w:pStyle w:val="Heading1"/>
        <w:pBdr>
          <w:bottom w:val="single" w:color="A85A2E" w:sz="6" w:space="6"/>
        </w:pBdr>
        <w:spacing w:after="160" w:before="400"/>
      </w:pPr>
      <w:r>
        <w:rPr>
          <w:rFonts w:ascii="Calibri" w:cs="Calibri" w:eastAsia="Calibri" w:hAnsi="Calibri"/>
          <w:b/>
          <w:bCs/>
          <w:color w:val="1F1F1F"/>
          <w:sz w:val="30"/>
          <w:szCs w:val="30"/>
        </w:rPr>
        <w:t xml:space="preserve">11.  Required human approval</w:t>
      </w:r>
    </w:p>
    <w:p>
      <w:pPr>
        <w:pBdr>
          <w:top w:val="single" w:color="A32E2E" w:sz="8" w:space="10"/>
          <w:left w:val="single" w:color="A32E2E" w:sz="8" w:space="10"/>
          <w:right w:val="single" w:color="A32E2E" w:sz="8" w:space="10"/>
        </w:pBdr>
        <w:shd w:fill="F8E9E7" w:color="auto" w:val="clear"/>
        <w:spacing w:after="110" w:before="60"/>
      </w:pPr>
      <w:r>
        <w:rPr>
          <w:rFonts w:ascii="Calibri" w:cs="Calibri" w:eastAsia="Calibri" w:hAnsi="Calibri"/>
          <w:b/>
          <w:bCs/>
          <w:color w:val="A32E2E"/>
          <w:sz w:val="18"/>
          <w:szCs w:val="18"/>
        </w:rPr>
        <w:t xml:space="preserve">REQUIRED HUMAN APPROVAL</w:t>
      </w:r>
    </w:p>
    <w:p>
      <w:pPr>
        <w:pBdr>
          <w:left w:val="single" w:color="A32E2E" w:sz="8" w:space="10"/>
          <w:right w:val="single" w:color="A32E2E" w:sz="8" w:space="10"/>
        </w:pBdr>
        <w:shd w:fill="F8E9E7" w:color="auto" w:val="clear"/>
        <w:spacing w:after="110" w:line="280"/>
      </w:pPr>
      <w:r>
        <w:rPr>
          <w:rFonts w:ascii="Calibri" w:cs="Calibri" w:eastAsia="Calibri" w:hAnsi="Calibri"/>
          <w:b/>
          <w:bCs/>
          <w:color w:val="1F1F1F"/>
          <w:sz w:val="20"/>
          <w:szCs w:val="20"/>
        </w:rPr>
        <w:t xml:space="preserve">Approver:  </w:t>
      </w:r>
      <w:r>
        <w:rPr>
          <w:rFonts w:ascii="Calibri" w:cs="Calibri" w:eastAsia="Calibri" w:hAnsi="Calibri"/>
          <w:color w:val="1F1F1F"/>
          <w:sz w:val="20"/>
          <w:szCs w:val="20"/>
        </w:rPr>
        <w:t xml:space="preserve">Dreyer Hoffman (principal).</w:t>
      </w:r>
    </w:p>
    <w:p>
      <w:pPr>
        <w:pBdr>
          <w:left w:val="single" w:color="A32E2E" w:sz="8" w:space="10"/>
          <w:right w:val="single" w:color="A32E2E" w:sz="8" w:space="10"/>
        </w:pBdr>
        <w:shd w:fill="F8E9E7" w:color="auto" w:val="clear"/>
        <w:spacing w:after="110" w:line="280"/>
      </w:pPr>
      <w:r>
        <w:rPr>
          <w:rFonts w:ascii="Calibri" w:cs="Calibri" w:eastAsia="Calibri" w:hAnsi="Calibri"/>
          <w:b/>
          <w:bCs/>
          <w:color w:val="1F1F1F"/>
          <w:sz w:val="20"/>
          <w:szCs w:val="20"/>
        </w:rPr>
        <w:t xml:space="preserve">Adviser sign-off needed:  </w:t>
      </w:r>
      <w:r>
        <w:rPr>
          <w:rFonts w:ascii="Calibri" w:cs="Calibri" w:eastAsia="Calibri" w:hAnsi="Calibri"/>
          <w:color w:val="1F1F1F"/>
          <w:sz w:val="20"/>
          <w:szCs w:val="20"/>
        </w:rPr>
        <w:t xml:space="preserve">CST Law (HJ Taljaard) — primary legal. Must review before Tyron signs either document, and before any AOD or company details are provided for the legal-fee invoice.</w:t>
      </w:r>
    </w:p>
    <w:p>
      <w:pPr>
        <w:pBdr>
          <w:left w:val="single" w:color="A32E2E" w:sz="8" w:space="10"/>
          <w:right w:val="single" w:color="A32E2E" w:sz="8" w:space="10"/>
        </w:pBdr>
        <w:shd w:fill="F8E9E7" w:color="auto" w:val="clear"/>
        <w:spacing w:after="110" w:line="280"/>
      </w:pPr>
      <w:r>
        <w:rPr>
          <w:rFonts w:ascii="Calibri" w:cs="Calibri" w:eastAsia="Calibri" w:hAnsi="Calibri"/>
          <w:b/>
          <w:bCs/>
          <w:color w:val="A32E2E"/>
          <w:sz w:val="20"/>
          <w:szCs w:val="20"/>
        </w:rPr>
        <w:t xml:space="preserve">Conflict:  </w:t>
      </w:r>
      <w:r>
        <w:rPr>
          <w:rFonts w:ascii="Calibri" w:cs="Calibri" w:eastAsia="Calibri" w:hAnsi="Calibri"/>
          <w:color w:val="A32E2E"/>
          <w:sz w:val="20"/>
          <w:szCs w:val="20"/>
        </w:rPr>
        <w:t xml:space="preserve">Labuschagne Attorneys (Niel de Jongh) must NOT be used on this matter — the counterparties to the ceded Sale of Shares Agreement are Mila, Megan and Liam Daniel De Jongh.</w:t>
      </w:r>
    </w:p>
    <w:p>
      <w:pPr>
        <w:pBdr>
          <w:left w:val="single" w:color="A32E2E" w:sz="8" w:space="10"/>
          <w:right w:val="single" w:color="A32E2E" w:sz="8" w:space="10"/>
        </w:pBdr>
        <w:shd w:fill="F8E9E7" w:color="auto" w:val="clear"/>
        <w:spacing w:after="110" w:line="280"/>
      </w:pPr>
      <w:r>
        <w:rPr>
          <w:rFonts w:ascii="Calibri" w:cs="Calibri" w:eastAsia="Calibri" w:hAnsi="Calibri"/>
          <w:b/>
          <w:bCs/>
          <w:color w:val="1F1F1F"/>
          <w:sz w:val="20"/>
          <w:szCs w:val="20"/>
        </w:rPr>
        <w:t xml:space="preserve">Live holds:  </w:t>
      </w:r>
      <w:r>
        <w:rPr>
          <w:rFonts w:ascii="Calibri" w:cs="Calibri" w:eastAsia="Calibri" w:hAnsi="Calibri"/>
          <w:color w:val="1F1F1F"/>
          <w:sz w:val="20"/>
          <w:szCs w:val="20"/>
        </w:rPr>
        <w:t xml:space="preserve">None of the standing holds apply directly. The Zambian Copper figures-verification gate applies to any IRR or return figure used to justify this cost of funds.</w:t>
      </w:r>
    </w:p>
    <w:p>
      <w:pPr>
        <w:pBdr>
          <w:left w:val="single" w:color="A32E2E" w:sz="8" w:space="10"/>
          <w:right w:val="single" w:color="A32E2E" w:sz="8" w:space="10"/>
        </w:pBdr>
        <w:shd w:fill="F8E9E7" w:color="auto" w:val="clear"/>
        <w:spacing w:after="110" w:line="280"/>
      </w:pPr>
      <w:r>
        <w:rPr>
          <w:rFonts w:ascii="Calibri" w:cs="Calibri" w:eastAsia="Calibri" w:hAnsi="Calibri"/>
          <w:b/>
          <w:bCs/>
          <w:color w:val="1F1F1F"/>
          <w:sz w:val="20"/>
          <w:szCs w:val="20"/>
        </w:rPr>
        <w:t xml:space="preserve">Figures to verify:  </w:t>
      </w:r>
      <w:r>
        <w:rPr>
          <w:rFonts w:ascii="Calibri" w:cs="Calibri" w:eastAsia="Calibri" w:hAnsi="Calibri"/>
          <w:color w:val="1F1F1F"/>
          <w:sz w:val="20"/>
          <w:szCs w:val="20"/>
        </w:rPr>
        <w:t xml:space="preserve">The balloon at 31 Aug 2027 (~R1.63m) and total cost of credit (~R432k) are MODEL OUTPUTS from the agreement’s own terms — to be confirmed against Plane Tree’s own amortisation once they complete the Cost of Credit table. Repo rate 7.00% and the applicable maximum rate: their attorney asserts repo + 14% = 21% (the credit facility cap); if this is an "other credit agreement" the cap is repo + 17% = 24%. Classification and grant date both to be confirmed. Unencumbered title to all four pledged assets — NOT VERIFIED. Sale of Shares Agreement of 27 Nov 2025 — NOT SEEN.</w:t>
      </w:r>
    </w:p>
    <w:p>
      <w:pPr>
        <w:pBdr>
          <w:left w:val="single" w:color="A32E2E" w:sz="8" w:space="10"/>
          <w:right w:val="single" w:color="A32E2E" w:sz="8" w:space="10"/>
        </w:pBdr>
        <w:shd w:fill="F8E9E7" w:color="auto" w:val="clear"/>
        <w:spacing w:after="110" w:line="280"/>
      </w:pPr>
      <w:r>
        <w:rPr>
          <w:rFonts w:ascii="Calibri" w:cs="Calibri" w:eastAsia="Calibri" w:hAnsi="Calibri"/>
          <w:b/>
          <w:bCs/>
          <w:color w:val="A32E2E"/>
          <w:sz w:val="20"/>
          <w:szCs w:val="20"/>
        </w:rPr>
        <w:t xml:space="preserve">Legal authority:  </w:t>
      </w:r>
      <w:r>
        <w:rPr>
          <w:rFonts w:ascii="Calibri" w:cs="Calibri" w:eastAsia="Calibri" w:hAnsi="Calibri"/>
          <w:color w:val="A32E2E"/>
          <w:sz w:val="20"/>
          <w:szCs w:val="20"/>
        </w:rPr>
        <w:t xml:space="preserve">The citations in section 9.2 come from search-index extraction, NOT from reading the judgments — primary sources were unreachable. Section 9.3 lists ten items to check before any of this goes into correspondence. In particular Absa Bank v Serfontein has NO CONFIRMED NEUTRAL CITATION.</w:t>
      </w:r>
    </w:p>
    <w:p>
      <w:pPr>
        <w:pBdr>
          <w:left w:val="single" w:color="A32E2E" w:sz="8" w:space="10"/>
          <w:bottom w:val="single" w:color="A32E2E" w:sz="8" w:space="10"/>
          <w:right w:val="single" w:color="A32E2E" w:sz="8" w:space="10"/>
        </w:pBdr>
        <w:shd w:fill="F8E9E7" w:color="auto" w:val="clear"/>
        <w:spacing w:after="200"/>
      </w:pPr>
      <w:r>
        <w:rPr>
          <w:rFonts w:ascii="Calibri" w:cs="Calibri" w:eastAsia="Calibri" w:hAnsi="Calibri"/>
          <w:b/>
          <w:bCs/>
          <w:color w:val="A32E2E"/>
          <w:sz w:val="20"/>
          <w:szCs w:val="20"/>
        </w:rPr>
        <w:t xml:space="preserve">This draft is NOT executed, sent, or committed.</w:t>
      </w:r>
    </w:p>
    <w:p>
      <w:pPr>
        <w:spacing w:after="120" w:line="276"/>
      </w:pPr>
      <w:r>
        <w:rPr>
          <w:rFonts w:ascii="Calibri" w:cs="Calibri" w:eastAsia="Calibri" w:hAnsi="Calibri"/>
          <w:i/>
          <w:iCs/>
          <w:color w:val="666057"/>
          <w:sz w:val="17"/>
          <w:szCs w:val="17"/>
        </w:rPr>
        <w:t xml:space="preserve">Prepared 18 August 2026 from the two draft agreements circulated by Plane Tree Capital, including the fourteen margin comments left in the files by the lender’s drafter. Commercial and risk review only — not a legal opinion, and not a substitute for sign-off by our own attorney.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A" w:sz="4" w:space="6"/>
      </w:pBdr>
      <w:jc w:val="center"/>
    </w:pPr>
    <w:r>
      <w:rPr>
        <w:rFonts w:ascii="Calibri" w:cs="Calibri" w:eastAsia="Calibri" w:hAnsi="Calibri"/>
        <w:color w:val="666057"/>
        <w:sz w:val="15"/>
        <w:szCs w:val="15"/>
      </w:rPr>
      <w:t xml:space="preserve">Plane Tree Capital facility review  ·  DRAFT — not for execution  ·  page </w:t>
    </w:r>
    <w:r>
      <w:rPr>
        <w:color w:val="666057"/>
        <w:sz w:val="15"/>
        <w:szCs w:val="15"/>
      </w:rPr>
      <w:fldChar w:fldCharType="begin"/>
      <w:instrText xml:space="preserve">PAGE</w:instrText>
      <w:fldChar w:fldCharType="separate"/>
      <w:fldChar w:fldCharType="end"/>
    </w:r>
    <w:r>
      <w:rPr>
        <w:rFonts w:ascii="Calibri" w:cs="Calibri" w:eastAsia="Calibri" w:hAnsi="Calibri"/>
        <w:color w:val="666057"/>
        <w:sz w:val="15"/>
        <w:szCs w:val="15"/>
      </w:rPr>
      <w:t xml:space="preserve"> of </w:t>
    </w:r>
    <w:r>
      <w:rPr>
        <w:color w:val="66605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 Tree Capital facility and security package — borrower-side review</dc:title>
  <dc:creator>Habari / PI Advertising Holding Company</dc:creator>
  <dc:description>Commercial and risk review of the Loan Facility Agreement and Agreement of Cession and Pledge circulated for Tyron Bos. Draft — not for execution.</dc:description>
  <cp:lastModifiedBy>Un-named</cp:lastModifiedBy>
  <cp:revision>1</cp:revision>
  <dcterms:created xsi:type="dcterms:W3CDTF">2026-08-18T09:30:57.574Z</dcterms:created>
  <dcterms:modified xsi:type="dcterms:W3CDTF">2026-08-18T09:30:57.574Z</dcterms:modified>
</cp:coreProperties>
</file>

<file path=docProps/custom.xml><?xml version="1.0" encoding="utf-8"?>
<Properties xmlns="http://schemas.openxmlformats.org/officeDocument/2006/custom-properties" xmlns:vt="http://schemas.openxmlformats.org/officeDocument/2006/docPropsVTypes"/>
</file>