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Federal Grants Review System</w:t>
      </w:r>
    </w:p>
    <w:p>
      <w:pPr>
        <w:jc w:val="center"/>
      </w:pPr>
      <w:r>
        <w:rPr>
          <w:i/>
        </w:rPr>
        <w:t>Product overview, data inventory, and production architecture</w:t>
      </w:r>
    </w:p>
    <w:p>
      <w:r>
        <w:t>Document status: Synthetic operational artifact for product testing</w:t>
      </w:r>
    </w:p>
    <w:p>
      <w:pPr>
        <w:pStyle w:val="Heading1"/>
      </w:pPr>
      <w:r>
        <w:t>1. Product summary</w:t>
      </w:r>
    </w:p>
    <w:p>
      <w:r>
        <w:t>The Federal Grants Review System (FGRS) is an internal agency web application used by program-office staff to receive, review, score, and track grant application packages after submission through a separate public intake service. FGRS does not accept direct public connections. The production system identifier is FGRS-PRD.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5040"/>
            <w:vAlign w:val="center"/>
            <w:shd w:fill="17365D"/>
          </w:tcPr>
          <w:p>
            <w:r>
              <w:rPr>
                <w:b/>
                <w:color w:val="FFFFFF"/>
              </w:rPr>
              <w:t>Operational value</w:t>
            </w:r>
          </w:p>
        </w:tc>
      </w:tr>
      <w:tr>
        <w:tc>
          <w:tcPr>
            <w:tcW w:type="dxa" w:w="5040"/>
          </w:tcPr>
          <w:p>
            <w:r>
              <w:t>Business owner</w:t>
            </w:r>
          </w:p>
        </w:tc>
        <w:tc>
          <w:tcPr>
            <w:tcW w:type="dxa" w:w="5040"/>
          </w:tcPr>
          <w:p>
            <w:r>
              <w:t>Dana Holloway, Director, Office of Grants Operations</w:t>
            </w:r>
          </w:p>
        </w:tc>
      </w:tr>
      <w:tr>
        <w:tc>
          <w:tcPr>
            <w:tcW w:type="dxa" w:w="5040"/>
          </w:tcPr>
          <w:p>
            <w:r>
              <w:t>Technical owner</w:t>
            </w:r>
          </w:p>
        </w:tc>
        <w:tc>
          <w:tcPr>
            <w:tcW w:type="dxa" w:w="5040"/>
          </w:tcPr>
          <w:p>
            <w:r>
              <w:t>Riley Chen, Application Platform Manager</w:t>
            </w:r>
          </w:p>
        </w:tc>
      </w:tr>
      <w:tr>
        <w:tc>
          <w:tcPr>
            <w:tcW w:type="dxa" w:w="5040"/>
          </w:tcPr>
          <w:p>
            <w:r>
              <w:t>Support hours</w:t>
            </w:r>
          </w:p>
        </w:tc>
        <w:tc>
          <w:tcPr>
            <w:tcW w:type="dxa" w:w="5040"/>
          </w:tcPr>
          <w:p>
            <w:r>
              <w:t>06:00-22:00 Eastern, Monday through Friday</w:t>
            </w:r>
          </w:p>
        </w:tc>
      </w:tr>
      <w:tr>
        <w:tc>
          <w:tcPr>
            <w:tcW w:type="dxa" w:w="5040"/>
          </w:tcPr>
          <w:p>
            <w:r>
              <w:t>Availability objective</w:t>
            </w:r>
          </w:p>
        </w:tc>
        <w:tc>
          <w:tcPr>
            <w:tcW w:type="dxa" w:w="5040"/>
          </w:tcPr>
          <w:p>
            <w:r>
              <w:t>99.9 percent monthly during support hours</w:t>
            </w:r>
          </w:p>
        </w:tc>
      </w:tr>
      <w:tr>
        <w:tc>
          <w:tcPr>
            <w:tcW w:type="dxa" w:w="5040"/>
          </w:tcPr>
          <w:p>
            <w:r>
              <w:t>Hosting</w:t>
            </w:r>
          </w:p>
        </w:tc>
        <w:tc>
          <w:tcPr>
            <w:tcW w:type="dxa" w:w="5040"/>
          </w:tcPr>
          <w:p>
            <w:r>
              <w:t>Agency enterprise cloud, agency-managed production account</w:t>
            </w:r>
          </w:p>
        </w:tc>
      </w:tr>
      <w:tr>
        <w:tc>
          <w:tcPr>
            <w:tcW w:type="dxa" w:w="5040"/>
          </w:tcPr>
          <w:p>
            <w:r>
              <w:t>Environments</w:t>
            </w:r>
          </w:p>
        </w:tc>
        <w:tc>
          <w:tcPr>
            <w:tcW w:type="dxa" w:w="5040"/>
          </w:tcPr>
          <w:p>
            <w:r>
              <w:t>Development, test, and production are separate</w:t>
            </w:r>
          </w:p>
        </w:tc>
      </w:tr>
      <w:tr>
        <w:tc>
          <w:tcPr>
            <w:tcW w:type="dxa" w:w="5040"/>
          </w:tcPr>
          <w:p>
            <w:r>
              <w:t>Production region</w:t>
            </w:r>
          </w:p>
        </w:tc>
        <w:tc>
          <w:tcPr>
            <w:tcW w:type="dxa" w:w="5040"/>
          </w:tcPr>
          <w:p>
            <w:r>
              <w:t>Primary agency east region; backup vault in secondary region</w:t>
            </w:r>
          </w:p>
        </w:tc>
      </w:tr>
    </w:tbl>
    <w:p>
      <w:pPr>
        <w:pStyle w:val="Heading1"/>
      </w:pPr>
      <w:r>
        <w:t>2. Users and business functions</w:t>
      </w:r>
    </w:p>
    <w:p>
      <w:pPr>
        <w:pStyle w:val="ListBullet"/>
      </w:pPr>
      <w:r>
        <w:t>Program Reviewers view assigned applications, record scores, and enter review notes.</w:t>
      </w:r>
    </w:p>
    <w:p>
      <w:pPr>
        <w:pStyle w:val="ListBullet"/>
      </w:pPr>
      <w:r>
        <w:t>Program Managers assign work, approve final recommendations, and run reports.</w:t>
      </w:r>
    </w:p>
    <w:p>
      <w:pPr>
        <w:pStyle w:val="ListBullet"/>
      </w:pPr>
      <w:r>
        <w:t>Records Staff export approved records for transfer to the agency records repository.</w:t>
      </w:r>
    </w:p>
    <w:p>
      <w:pPr>
        <w:pStyle w:val="ListBullet"/>
      </w:pPr>
      <w:r>
        <w:t>Read-only Auditors can view records and audit history but cannot change case data.</w:t>
      </w:r>
    </w:p>
    <w:p>
      <w:pPr>
        <w:pStyle w:val="ListBullet"/>
      </w:pPr>
      <w:r>
        <w:t>Application Administrators manage application roles and reference data.</w:t>
      </w:r>
    </w:p>
    <w:p>
      <w:pPr>
        <w:pStyle w:val="ListBullet"/>
      </w:pPr>
      <w:r>
        <w:t>Platform Administrators maintain the runtime platform through the agency privileged access service.</w:t>
      </w:r>
    </w:p>
    <w:p>
      <w:pPr>
        <w:pStyle w:val="Heading1"/>
      </w:pPr>
      <w:r>
        <w:t>3. Information handled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r>
              <w:rPr>
                <w:b/>
                <w:color w:val="FFFFFF"/>
              </w:rPr>
              <w:t>Information</w:t>
            </w:r>
          </w:p>
        </w:tc>
        <w:tc>
          <w:tcPr>
            <w:tcW w:type="dxa" w:w="3360"/>
            <w:vAlign w:val="center"/>
            <w:shd w:fill="17365D"/>
          </w:tcPr>
          <w:p>
            <w:r>
              <w:rPr>
                <w:b/>
                <w:color w:val="FFFFFF"/>
              </w:rPr>
              <w:t>Examples</w:t>
            </w:r>
          </w:p>
        </w:tc>
        <w:tc>
          <w:tcPr>
            <w:tcW w:type="dxa" w:w="3360"/>
            <w:vAlign w:val="center"/>
            <w:shd w:fill="17365D"/>
          </w:tcPr>
          <w:p>
            <w:r>
              <w:rPr>
                <w:b/>
                <w:color w:val="FFFFFF"/>
              </w:rPr>
              <w:t>Handling</w:t>
            </w:r>
          </w:p>
        </w:tc>
      </w:tr>
      <w:tr>
        <w:tc>
          <w:tcPr>
            <w:tcW w:type="dxa" w:w="3360"/>
          </w:tcPr>
          <w:p>
            <w:r>
              <w:t>Grant application records</w:t>
            </w:r>
          </w:p>
        </w:tc>
        <w:tc>
          <w:tcPr>
            <w:tcW w:type="dxa" w:w="3360"/>
          </w:tcPr>
          <w:p>
            <w:r>
              <w:t>Narratives, budgets, eligibility documents, scoring results</w:t>
            </w:r>
          </w:p>
        </w:tc>
        <w:tc>
          <w:tcPr>
            <w:tcW w:type="dxa" w:w="3360"/>
          </w:tcPr>
          <w:p>
            <w:r>
              <w:t>Agency internal; some records may be pre-decisional</w:t>
            </w:r>
          </w:p>
        </w:tc>
      </w:tr>
      <w:tr>
        <w:tc>
          <w:tcPr>
            <w:tcW w:type="dxa" w:w="3360"/>
          </w:tcPr>
          <w:p>
            <w:r>
              <w:t>Business contact information</w:t>
            </w:r>
          </w:p>
        </w:tc>
        <w:tc>
          <w:tcPr>
            <w:tcW w:type="dxa" w:w="3360"/>
          </w:tcPr>
          <w:p>
            <w:r>
              <w:t>Names, work email, work phone, organization</w:t>
            </w:r>
          </w:p>
        </w:tc>
        <w:tc>
          <w:tcPr>
            <w:tcW w:type="dxa" w:w="3360"/>
          </w:tcPr>
          <w:p>
            <w:r>
              <w:t>Limited business contact information</w:t>
            </w:r>
          </w:p>
        </w:tc>
      </w:tr>
      <w:tr>
        <w:tc>
          <w:tcPr>
            <w:tcW w:type="dxa" w:w="3360"/>
          </w:tcPr>
          <w:p>
            <w:r>
              <w:t>Reviewer information</w:t>
            </w:r>
          </w:p>
        </w:tc>
        <w:tc>
          <w:tcPr>
            <w:tcW w:type="dxa" w:w="3360"/>
          </w:tcPr>
          <w:p>
            <w:r>
              <w:t>Agency username, assignments, comments, approvals</w:t>
            </w:r>
          </w:p>
        </w:tc>
        <w:tc>
          <w:tcPr>
            <w:tcW w:type="dxa" w:w="3360"/>
          </w:tcPr>
          <w:p>
            <w:r>
              <w:t>Agency internal</w:t>
            </w:r>
          </w:p>
        </w:tc>
      </w:tr>
      <w:tr>
        <w:tc>
          <w:tcPr>
            <w:tcW w:type="dxa" w:w="3360"/>
          </w:tcPr>
          <w:p>
            <w:r>
              <w:t>Supporting attachments</w:t>
            </w:r>
          </w:p>
        </w:tc>
        <w:tc>
          <w:tcPr>
            <w:tcW w:type="dxa" w:w="3360"/>
          </w:tcPr>
          <w:p>
            <w:r>
              <w:t>PDF, DOCX, and XLSX files transferred from the intake service</w:t>
            </w:r>
          </w:p>
        </w:tc>
        <w:tc>
          <w:tcPr>
            <w:tcW w:type="dxa" w:w="3360"/>
          </w:tcPr>
          <w:p>
            <w:r>
              <w:t>Stored encrypted; malware-scanned before transfer</w:t>
            </w:r>
          </w:p>
        </w:tc>
      </w:tr>
      <w:tr>
        <w:tc>
          <w:tcPr>
            <w:tcW w:type="dxa" w:w="3360"/>
          </w:tcPr>
          <w:p>
            <w:r>
              <w:t>Operational records</w:t>
            </w:r>
          </w:p>
        </w:tc>
        <w:tc>
          <w:tcPr>
            <w:tcW w:type="dxa" w:w="3360"/>
          </w:tcPr>
          <w:p>
            <w:r>
              <w:t>Audit events, application logs, job status, performance metrics</w:t>
            </w:r>
          </w:p>
        </w:tc>
        <w:tc>
          <w:tcPr>
            <w:tcW w:type="dxa" w:w="3360"/>
          </w:tcPr>
          <w:p>
            <w:r>
              <w:t>Restricted to operations and security personnel</w:t>
            </w:r>
          </w:p>
        </w:tc>
      </w:tr>
    </w:tbl>
    <w:p>
      <w:r>
        <w:t>The product team treats production confidentiality, integrity, and availability as Moderate. The system is not approved to store classified information, payment card data, protected health information, or applicant bank-account credentials.</w:t>
      </w:r>
    </w:p>
    <w:p>
      <w:pPr>
        <w:pStyle w:val="Heading1"/>
      </w:pPr>
      <w:r>
        <w:t>4. Production boundary and components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967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1-production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67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FGRS production environment includes the internal web application, application API, background worker, managed PostgreSQL database, encrypted object storage, deployment namespace, workload identities, network policies, and application-specific encryption keys. The agency identity provider, SIEM, email relay, vulnerability scanner, privileged access service, and backup vault are shared services operated outside the product environment.</w:t>
      </w:r>
    </w:p>
    <w:p>
      <w:pPr>
        <w:pStyle w:val="Heading1"/>
      </w:pPr>
      <w:r>
        <w:t>5. Data flow and external services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967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2-business-data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674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3360"/>
            <w:vAlign w:val="center"/>
            <w:shd w:fill="17365D"/>
          </w:tcPr>
          <w:p>
            <w:r>
              <w:rPr>
                <w:b/>
                <w:color w:val="FFFFFF"/>
              </w:rPr>
              <w:t>Direction and purpose</w:t>
            </w:r>
          </w:p>
        </w:tc>
        <w:tc>
          <w:tcPr>
            <w:tcW w:type="dxa" w:w="3360"/>
            <w:vAlign w:val="center"/>
            <w:shd w:fill="17365D"/>
          </w:tcPr>
          <w:p>
            <w:r>
              <w:rPr>
                <w:b/>
                <w:color w:val="FFFFFF"/>
              </w:rPr>
              <w:t>Protection</w:t>
            </w:r>
          </w:p>
        </w:tc>
      </w:tr>
      <w:tr>
        <w:tc>
          <w:tcPr>
            <w:tcW w:type="dxa" w:w="3360"/>
          </w:tcPr>
          <w:p>
            <w:r>
              <w:t>Agency identity provider</w:t>
            </w:r>
          </w:p>
        </w:tc>
        <w:tc>
          <w:tcPr>
            <w:tcW w:type="dxa" w:w="3360"/>
          </w:tcPr>
          <w:p>
            <w:r>
              <w:t>Inbound authentication and group claims</w:t>
            </w:r>
          </w:p>
        </w:tc>
        <w:tc>
          <w:tcPr>
            <w:tcW w:type="dxa" w:w="3360"/>
          </w:tcPr>
          <w:p>
            <w:r>
              <w:t>OIDC over TLS; phishing-resistant MFA using agency PIV</w:t>
            </w:r>
          </w:p>
        </w:tc>
      </w:tr>
      <w:tr>
        <w:tc>
          <w:tcPr>
            <w:tcW w:type="dxa" w:w="3360"/>
          </w:tcPr>
          <w:p>
            <w:r>
              <w:t>Public intake service</w:t>
            </w:r>
          </w:p>
        </w:tc>
        <w:tc>
          <w:tcPr>
            <w:tcW w:type="dxa" w:w="3360"/>
          </w:tcPr>
          <w:p>
            <w:r>
              <w:t>Inbound transfer of accepted application packages</w:t>
            </w:r>
          </w:p>
        </w:tc>
        <w:tc>
          <w:tcPr>
            <w:tcW w:type="dxa" w:w="3360"/>
          </w:tcPr>
          <w:p>
            <w:r>
              <w:t>Mutual TLS, workload identity, schema validation, malware-scan status required</w:t>
            </w:r>
          </w:p>
        </w:tc>
      </w:tr>
      <w:tr>
        <w:tc>
          <w:tcPr>
            <w:tcW w:type="dxa" w:w="3360"/>
          </w:tcPr>
          <w:p>
            <w:r>
              <w:t>Agency SIEM</w:t>
            </w:r>
          </w:p>
        </w:tc>
        <w:tc>
          <w:tcPr>
            <w:tcW w:type="dxa" w:w="3360"/>
          </w:tcPr>
          <w:p>
            <w:r>
              <w:t>Outbound audit and security events</w:t>
            </w:r>
          </w:p>
        </w:tc>
        <w:tc>
          <w:tcPr>
            <w:tcW w:type="dxa" w:w="3360"/>
          </w:tcPr>
          <w:p>
            <w:r>
              <w:t>TLS log forwarding through the central collector</w:t>
            </w:r>
          </w:p>
        </w:tc>
      </w:tr>
      <w:tr>
        <w:tc>
          <w:tcPr>
            <w:tcW w:type="dxa" w:w="3360"/>
          </w:tcPr>
          <w:p>
            <w:r>
              <w:t>Agency email relay</w:t>
            </w:r>
          </w:p>
        </w:tc>
        <w:tc>
          <w:tcPr>
            <w:tcW w:type="dxa" w:w="3360"/>
          </w:tcPr>
          <w:p>
            <w:r>
              <w:t>Outbound workflow notifications</w:t>
            </w:r>
          </w:p>
        </w:tc>
        <w:tc>
          <w:tcPr>
            <w:tcW w:type="dxa" w:w="3360"/>
          </w:tcPr>
          <w:p>
            <w:r>
              <w:t>Authenticated TLS connection; no attachments are sent</w:t>
            </w:r>
          </w:p>
        </w:tc>
      </w:tr>
      <w:tr>
        <w:tc>
          <w:tcPr>
            <w:tcW w:type="dxa" w:w="3360"/>
          </w:tcPr>
          <w:p>
            <w:r>
              <w:t>Vulnerability service</w:t>
            </w:r>
          </w:p>
        </w:tc>
        <w:tc>
          <w:tcPr>
            <w:tcW w:type="dxa" w:w="3360"/>
          </w:tcPr>
          <w:p>
            <w:r>
              <w:t>Inbound authenticated scanning of approved endpoints</w:t>
            </w:r>
          </w:p>
        </w:tc>
        <w:tc>
          <w:tcPr>
            <w:tcW w:type="dxa" w:w="3360"/>
          </w:tcPr>
          <w:p>
            <w:r>
              <w:t>Dedicated scanner identity and private network path</w:t>
            </w:r>
          </w:p>
        </w:tc>
      </w:tr>
      <w:tr>
        <w:tc>
          <w:tcPr>
            <w:tcW w:type="dxa" w:w="3360"/>
          </w:tcPr>
          <w:p>
            <w:r>
              <w:t>Backup vault</w:t>
            </w:r>
          </w:p>
        </w:tc>
        <w:tc>
          <w:tcPr>
            <w:tcW w:type="dxa" w:w="3360"/>
          </w:tcPr>
          <w:p>
            <w:r>
              <w:t>Outbound encrypted database and object backups</w:t>
            </w:r>
          </w:p>
        </w:tc>
        <w:tc>
          <w:tcPr>
            <w:tcW w:type="dxa" w:w="3360"/>
          </w:tcPr>
          <w:p>
            <w:r>
              <w:t>Private endpoint and separate agency-managed encryption key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