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FGRS User Access and Support Procedures</w:t>
      </w:r>
    </w:p>
    <w:p>
      <w:pPr>
        <w:jc w:val="center"/>
      </w:pPr>
      <w:r>
        <w:rPr>
          <w:i/>
        </w:rPr>
        <w:t>Daily operating procedure for program and platform personnel</w:t>
      </w:r>
    </w:p>
    <w:p>
      <w:r>
        <w:t>Document status: Synthetic operational artifact for product testing</w:t>
      </w:r>
    </w:p>
    <w:p>
      <w:pPr>
        <w:pStyle w:val="Heading1"/>
      </w:pPr>
      <w:r>
        <w:t>1. Standard user access</w:t>
      </w:r>
    </w:p>
    <w:p>
      <w:pPr>
        <w:pStyle w:val="ListBullet"/>
      </w:pPr>
      <w:r>
        <w:t>The user's manager submits an access request in the agency service desk.</w:t>
      </w:r>
    </w:p>
    <w:p>
      <w:pPr>
        <w:pStyle w:val="ListBullet"/>
      </w:pPr>
      <w:r>
        <w:t>The request identifies the business role, program office, and required grant portfolio.</w:t>
      </w:r>
    </w:p>
    <w:p>
      <w:pPr>
        <w:pStyle w:val="ListBullet"/>
      </w:pPr>
      <w:r>
        <w:t>The program data owner approves Reviewer, Program Manager, Records Staff, and Auditor access.</w:t>
      </w:r>
    </w:p>
    <w:p>
      <w:pPr>
        <w:pStyle w:val="ListBullet"/>
      </w:pPr>
      <w:r>
        <w:t>An Application Administrator assigns the approved role after confirming the user's active agency identity.</w:t>
      </w:r>
    </w:p>
    <w:p>
      <w:pPr>
        <w:pStyle w:val="ListBullet"/>
      </w:pPr>
      <w:r>
        <w:t>Users authenticate through the agency identity provider with PIV-based multifactor authentication.</w:t>
      </w:r>
    </w:p>
    <w:p>
      <w:pPr>
        <w:pStyle w:val="ListBullet"/>
      </w:pPr>
      <w:r>
        <w:t>The application denies access when required group claims are absent or the account is disabled.</w:t>
      </w:r>
    </w:p>
    <w:p>
      <w:pPr>
        <w:pStyle w:val="Heading1"/>
      </w:pPr>
      <w:r>
        <w:t>2. Privileged access</w:t>
      </w:r>
    </w:p>
    <w:p>
      <w:r>
        <w:t>Application Administrator and Platform Administrator access requires a separate privileged account, technical-owner approval, and enrollment in the agency privileged access service. Privileged sessions are initiated through the managed access path and are logged. Platform Administrators do not receive standing database credentials. Emergency access is time-limited, requires an incident or change ticket, and is reviewed the next business day.</w:t>
      </w:r>
    </w:p>
    <w:p>
      <w:pPr>
        <w:pStyle w:val="Heading1"/>
      </w:pPr>
      <w:r>
        <w:t>3. Reviews, transfers, and removal</w:t>
      </w:r>
    </w:p>
    <w:p>
      <w:pPr>
        <w:pStyle w:val="ListBullet"/>
      </w:pPr>
      <w:r>
        <w:t>Application Administrators export active users and roles each quarter.</w:t>
      </w:r>
    </w:p>
    <w:p>
      <w:pPr>
        <w:pStyle w:val="ListBullet"/>
      </w:pPr>
      <w:r>
        <w:t>Program Managers confirm business access; the technical owner confirms privileged access.</w:t>
      </w:r>
    </w:p>
    <w:p>
      <w:pPr>
        <w:pStyle w:val="ListBullet"/>
      </w:pPr>
      <w:r>
        <w:t>Unconfirmed or unnecessary access is removed within one business day after review.</w:t>
      </w:r>
    </w:p>
    <w:p>
      <w:pPr>
        <w:pStyle w:val="ListBullet"/>
      </w:pPr>
      <w:r>
        <w:t>The identity provider disables separated personnel through the agency offboarding feed.</w:t>
      </w:r>
    </w:p>
    <w:p>
      <w:pPr>
        <w:pStyle w:val="ListBullet"/>
      </w:pPr>
      <w:r>
        <w:t>The application team removes application roles within four hours of a high-priority separation notice.</w:t>
      </w:r>
    </w:p>
    <w:p>
      <w:pPr>
        <w:pStyle w:val="ListBullet"/>
      </w:pPr>
      <w:r>
        <w:t>Transferred personnel require a new manager and data-owner approval before retaining access.</w:t>
      </w:r>
    </w:p>
    <w:p>
      <w:pPr>
        <w:pStyle w:val="ListBullet"/>
      </w:pPr>
      <w:r>
        <w:t>Inactive application role assignments are removed after 60 days unless the manager documents a continuing need.</w:t>
      </w:r>
    </w:p>
    <w:p>
      <w:pPr>
        <w:pStyle w:val="Heading1"/>
      </w:pPr>
      <w:r>
        <w:t>4. Session and authentication behavior</w:t>
      </w:r>
    </w:p>
    <w:p>
      <w:pPr>
        <w:pStyle w:val="ListBullet"/>
      </w:pPr>
      <w:r>
        <w:t>Sessions end after 15 minutes of inactivity and after 12 hours regardless of activity.</w:t>
      </w:r>
    </w:p>
    <w:p>
      <w:pPr>
        <w:pStyle w:val="ListBullet"/>
      </w:pPr>
      <w:r>
        <w:t>Five failed authentication attempts within 15 minutes trigger a 30-minute application lockout while the agency identity provider applies its own protections.</w:t>
      </w:r>
    </w:p>
    <w:p>
      <w:pPr>
        <w:pStyle w:val="ListBullet"/>
      </w:pPr>
      <w:r>
        <w:t>Concurrent sessions are limited to two per user.</w:t>
      </w:r>
    </w:p>
    <w:p>
      <w:pPr>
        <w:pStyle w:val="ListBullet"/>
      </w:pPr>
      <w:r>
        <w:t>The application displays the agency-authorized-use notice before access.</w:t>
      </w:r>
    </w:p>
    <w:p>
      <w:pPr>
        <w:pStyle w:val="ListBullet"/>
      </w:pPr>
      <w:r>
        <w:t>Service-to-service identities use short-lived workload credentials and cannot perform interactive login.</w:t>
      </w:r>
    </w:p>
    <w:p>
      <w:pPr>
        <w:pStyle w:val="Heading1"/>
      </w:pPr>
      <w:r>
        <w:t>5. Support and escalation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7365D"/>
          </w:tcPr>
          <w:p>
            <w:r>
              <w:rPr>
                <w:b/>
                <w:color w:val="FFFFFF"/>
              </w:rPr>
              <w:t>Issue</w:t>
            </w:r>
          </w:p>
        </w:tc>
        <w:tc>
          <w:tcPr>
            <w:tcW w:type="dxa" w:w="3360"/>
            <w:vAlign w:val="center"/>
            <w:shd w:fill="17365D"/>
          </w:tcPr>
          <w:p>
            <w:r>
              <w:rPr>
                <w:b/>
                <w:color w:val="FFFFFF"/>
              </w:rPr>
              <w:t>Initial destination</w:t>
            </w:r>
          </w:p>
        </w:tc>
        <w:tc>
          <w:tcPr>
            <w:tcW w:type="dxa" w:w="3360"/>
            <w:vAlign w:val="center"/>
            <w:shd w:fill="17365D"/>
          </w:tcPr>
          <w:p>
            <w:r>
              <w:rPr>
                <w:b/>
                <w:color w:val="FFFFFF"/>
              </w:rPr>
              <w:t>Escalation</w:t>
            </w:r>
          </w:p>
        </w:tc>
      </w:tr>
      <w:tr>
        <w:tc>
          <w:tcPr>
            <w:tcW w:type="dxa" w:w="3360"/>
          </w:tcPr>
          <w:p>
            <w:r>
              <w:t>Access request or role issue</w:t>
            </w:r>
          </w:p>
        </w:tc>
        <w:tc>
          <w:tcPr>
            <w:tcW w:type="dxa" w:w="3360"/>
          </w:tcPr>
          <w:p>
            <w:r>
              <w:t>Agency service desk</w:t>
            </w:r>
          </w:p>
        </w:tc>
        <w:tc>
          <w:tcPr>
            <w:tcW w:type="dxa" w:w="3360"/>
          </w:tcPr>
          <w:p>
            <w:r>
              <w:t>Application Administrator</w:t>
            </w:r>
          </w:p>
        </w:tc>
      </w:tr>
      <w:tr>
        <w:tc>
          <w:tcPr>
            <w:tcW w:type="dxa" w:w="3360"/>
          </w:tcPr>
          <w:p>
            <w:r>
              <w:t>Application availability</w:t>
            </w:r>
          </w:p>
        </w:tc>
        <w:tc>
          <w:tcPr>
            <w:tcW w:type="dxa" w:w="3360"/>
          </w:tcPr>
          <w:p>
            <w:r>
              <w:t>Agency service desk</w:t>
            </w:r>
          </w:p>
        </w:tc>
        <w:tc>
          <w:tcPr>
            <w:tcW w:type="dxa" w:w="3360"/>
          </w:tcPr>
          <w:p>
            <w:r>
              <w:t>Platform on-call engineer</w:t>
            </w:r>
          </w:p>
        </w:tc>
      </w:tr>
      <w:tr>
        <w:tc>
          <w:tcPr>
            <w:tcW w:type="dxa" w:w="3360"/>
          </w:tcPr>
          <w:p>
            <w:r>
              <w:t>Suspected security event</w:t>
            </w:r>
          </w:p>
        </w:tc>
        <w:tc>
          <w:tcPr>
            <w:tcW w:type="dxa" w:w="3360"/>
          </w:tcPr>
          <w:p>
            <w:r>
              <w:t>Security Operations</w:t>
            </w:r>
          </w:p>
        </w:tc>
        <w:tc>
          <w:tcPr>
            <w:tcW w:type="dxa" w:w="3360"/>
          </w:tcPr>
          <w:p>
            <w:r>
              <w:t>Technical owner and cybersecurity liaison</w:t>
            </w:r>
          </w:p>
        </w:tc>
      </w:tr>
      <w:tr>
        <w:tc>
          <w:tcPr>
            <w:tcW w:type="dxa" w:w="3360"/>
          </w:tcPr>
          <w:p>
            <w:r>
              <w:t>Data-quality or workflow issue</w:t>
            </w:r>
          </w:p>
        </w:tc>
        <w:tc>
          <w:tcPr>
            <w:tcW w:type="dxa" w:w="3360"/>
          </w:tcPr>
          <w:p>
            <w:r>
              <w:t>Program support queue</w:t>
            </w:r>
          </w:p>
        </w:tc>
        <w:tc>
          <w:tcPr>
            <w:tcW w:type="dxa" w:w="3360"/>
          </w:tcPr>
          <w:p>
            <w:r>
              <w:t>Program Manager</w:t>
            </w:r>
          </w:p>
        </w:tc>
      </w:tr>
      <w:tr>
        <w:tc>
          <w:tcPr>
            <w:tcW w:type="dxa" w:w="3360"/>
          </w:tcPr>
          <w:p>
            <w:r>
              <w:t>Restore request</w:t>
            </w:r>
          </w:p>
        </w:tc>
        <w:tc>
          <w:tcPr>
            <w:tcW w:type="dxa" w:w="3360"/>
          </w:tcPr>
          <w:p>
            <w:r>
              <w:t>Platform support queue</w:t>
            </w:r>
          </w:p>
        </w:tc>
        <w:tc>
          <w:tcPr>
            <w:tcW w:type="dxa" w:w="3360"/>
          </w:tcPr>
          <w:p>
            <w:r>
              <w:t>Technical owner approval required</w:t>
            </w:r>
          </w:p>
        </w:tc>
      </w:tr>
    </w:tbl>
    <w:p>
      <w:r>
        <w:t>Named contacts and phone numbers are maintained in the agency service directory rather than in this procedure.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