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SENTRA VISUAL &amp; DOCUMENT AUTHORITY — SSOT v1.1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FINAL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Authority: CANONICAL / SOURCE OF TRUTH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Effective date: 20 September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Owner: Sentra Artificial Intelligence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Scope: Corporate visual language, digital design precedence, and Corporate Document System v1.1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VISUAL ROOT PRINCIPLE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Sentra's visual language is rooted in Swiss / International Typographic Style.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All Sentra outputs should prioritize: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grid-based composition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asymmetric balance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strong typographic hierarchy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disciplined alignment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generous whitespace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functional clarity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restrained color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minimal ornament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objective visual communication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consistency over novelty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Visual character must come primarily from typography, proportion, rhythm, spacing, alignment, and contrast — not decorative effects.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visual root is the constitutional layer. Individual media may translate it, but may not replace it with a separate aesthetic.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AUTHORITY LAYERS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authority order is: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1) Approved / measured implemented production behavior within the relevant medium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2) This SSOT and approved medium-specific canonical systems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3) Sentraverse UI-RULES.md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4) Sentraverse DESIGN-NOTES.md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5) Closest approved reference HTML / implemented precedent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6) Approved Sentra Corporate Brand guidance and canonical assets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7) New interpretation only when no approved precedent exists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When sources conflict, the newer explicitly approved source controls within its stated scope. A medium-specific canonical rule does not silently rewrite unrelated media.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TYPOGRAPHY AUTHORITY BY ROLE / MEDIUM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Corporate Documents v1.1: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Archivo — display, cover titles, major headings, primary hierarchy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IBM Plex Sans — body text, long-form reading, explanatory prose, table prose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IBM Plex Mono — metadata, labels, document IDs, sequence numbers, numeric and structured technical information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Sentraverse Digital UI: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Archivo remains the established UI display/system typeface according to the Sentraverse design-system sources.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Corporate Brand Lockups: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Existing approved brand-package lockups remain authoritative as supplied.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Typography embedded in or required by an approved lockup must not be silently substituted.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The Corporate Document typography system does not by itself authorize redrawing or re-typesetting approved graphical lockups.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COLOR &amp; VISUAL LANGUAGE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Use restrained color and preserve grayscale legibility.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Whitespace, hierarchy, rules, and alignment should solve structure before containers or decoration are introduced.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 the Corporate Document System v1.1: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near-black / black carries primary reading and structural authority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neutral gray supports secondary information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vermilion may be used sparingly for structural emphasis consistent with the Sentra/Sentraverse language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crimson is reserved for explicit critical/risk semantics and must never carry meaning alone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no separate blue corporate-document palette is introduced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 not default to: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gradients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glow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glass effects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soft shadows on stable content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rounded-card layouts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decorative watermarks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full-bleed “luxury corporate” covers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generic consulting-style colored boxes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ornamental icons where typography is sufficient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 MEDIUM TRANSLATION RULE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 not mechanically copy interactive UI rules into DOCX, PDF, PPTX, or print.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1) preserve the established visual intent;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2) reuse typography, proportion, spacing rhythm, line vocabulary, asymmetry, and color logic where the medium allows;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3) adapt only what the medium physically requires;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4) make the smallest reasonable adaptation;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5) mark genuinely new conventions as REVIEW until approved.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goal is not to make a conventional corporate document.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goal is to make a Sentra document.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6. CORPORATE DOCUMENT SYSTEM v1.1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Status: FINAL / CANONICAL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Canonical package: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Corporate Document Template v1.1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Corporate Document Style Specification v1.1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Corporate Document Usage Guide v1.1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Canonical Record v1.1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Library destination: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Sentra Library / 06_CORPORATE_BRAND / 02_Corporate_Document_System_v1.1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Core document composition: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A4 portrait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asymmetric 12-column conceptual grid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primary narrative zone approximately columns 1–7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context zone approximately columns 9–12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deliberate structural gap between primary and context zones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left-aligned hierarchy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whitespace first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structural rules instead of decorative containers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no vertical table rules by default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7. GOVERNANCE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Do not invent a new visual convention when an approved precedent exists.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Do not redesign, modernize, embellish, simplify, or “improve” the system unless explicitly requested.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Do not silently substitute fonts, colors, layout conventions, components, or brand assets.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Do not promote REVIEW / DRAFT material to authority without explicit approval.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When a gap exists: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identify the missing rule;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reference the nearest approved precedent;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propose the smallest extension;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keep the extension REVIEW until approved.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8. SUPERSESSION &amp; CONFLICT RESOLUTION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Corporate Document System v1.1 supersedes the rejected v1.0 document direction.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Within Corporate Documents, this SSOT supersedes any earlier assumption that Geist should be used as the document body/display system or that Intelligence Blue should become a dedicated corporate-document accent system.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This does not automatically revoke Geist usage inside previously approved corporate brand lockups or source assets. Those remain governed by the Corporate Brand package until separately revised and approved.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9. FINAL OPERATING PRINCIPLE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Swiss Style is the root.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Sentra Brand defines corporate identity.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Sentraverse implements the digital design language.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Medium-specific systems translate that same language without creating a new visual identity.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Consistency over novelty.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Structure over decoration.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Clarity over spectacle.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