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3"/>
        <w:gridCol w:w="680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CORPORATE DOCUMENT / V1.1</w:t>
            </w:r>
          </w:p>
          <w:p>
            <w:pPr>
              <w:spacing w:before="320" w:after="200"/>
            </w:pPr>
            <w:r>
              <w:rPr>
                <w:rFonts w:ascii="Archivo" w:hAnsi="Archivo" w:eastAsia="Archivo" w:cs="Archivo"/>
                <w:b/>
                <w:color w:val="101312"/>
                <w:sz w:val="68"/>
              </w:rPr>
              <w:t>Corporate Document Template</w:t>
            </w:r>
          </w:p>
          <w:p>
            <w:pPr>
              <w:spacing w:after="360"/>
            </w:pPr>
            <w:r>
              <w:rPr>
                <w:rFonts w:ascii="IBM Plex Sans" w:hAnsi="IBM Plex Sans" w:eastAsia="IBM Plex Sans" w:cs="IBM Plex Sans"/>
                <w:b w:val="0"/>
                <w:color w:val="5A5F5C"/>
                <w:sz w:val="25"/>
              </w:rPr>
              <w:t>Reusable long-form system for official Sentra documents.</w:t>
            </w:r>
          </w:p>
          <w:p>
            <w:pPr>
              <w:pBdr>
                <w:top w:val="single" w:sz="10" w:space="6" w:color="101312"/>
              </w:pBdr>
              <w:spacing w:before="400"/>
            </w:pPr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Sentra documents are information systems in print: structured, objective, aligned, and quiet.</w:t>
            </w:r>
          </w:p>
        </w:tc>
        <w:tc>
          <w:tcPr>
            <w:tcW w:type="dxa" w:w="3289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/>
        </w:tc>
        <w:tc>
          <w:tcPr>
            <w:tcW w:type="dxa" w:w="3289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pPr>
              <w:spacing w:after="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STATUS</w:t>
            </w:r>
          </w:p>
          <w:p>
            <w:pPr>
              <w:pBdr>
                <w:bottom w:val="single" w:sz="8" w:space="4" w:color="B8351A"/>
              </w:pBdr>
            </w:pPr>
            <w:r>
              <w:rPr>
                <w:rFonts w:ascii="IBM Plex Mono" w:hAnsi="IBM Plex Mono" w:eastAsia="IBM Plex Mono" w:cs="IBM Plex Mono"/>
                <w:b/>
                <w:color w:val="B8351A"/>
                <w:sz w:val="17"/>
              </w:rPr>
              <w:t>FINAL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DATE</w:t>
            </w:r>
          </w:p>
          <w:p>
            <w:pPr>
              <w:spacing w:after="40"/>
            </w:pPr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2026-09-20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PREPARED BY</w:t>
            </w:r>
          </w:p>
          <w:p>
            <w:pPr>
              <w:spacing w:after="40"/>
            </w:pPr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Sentra Artificial Intelligence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CONFIDENTIALITY</w:t>
            </w:r>
          </w:p>
          <w:p>
            <w:pPr>
              <w:spacing w:after="40"/>
            </w:pPr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INTERNAL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DOCUMENT ID</w:t>
            </w:r>
          </w:p>
          <w:p>
            <w:pPr>
              <w:spacing w:after="40"/>
            </w:pPr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SENTRA-DOC-TPL-001</w:t>
            </w:r>
          </w:p>
          <w:p>
            <w:pPr>
              <w:spacing w:before="180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VERSION</w:t>
            </w:r>
          </w:p>
          <w:p>
            <w:pPr>
              <w:spacing w:after="40"/>
            </w:pPr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v1.1</w:t>
            </w:r>
          </w:p>
          <w:p>
            <w:pPr>
              <w:spacing w:before="100"/>
            </w:pPr>
            <w:r>
              <w:rPr>
                <w:rFonts w:ascii="IBM Plex Mono" w:hAnsi="IBM Plex Mono" w:eastAsia="IBM Plex Mono" w:cs="IBM Plex Mono"/>
                <w:b/>
                <w:sz w:val="14"/>
              </w:rPr>
              <w:t>AUTHORITY</w:t>
            </w:r>
          </w:p>
          <w:p>
            <w:pPr>
              <w:spacing w:after="0"/>
            </w:pPr>
            <w:r>
              <w:rPr>
                <w:rFonts w:ascii="IBM Plex Mono" w:hAnsi="IBM Plex Mono" w:eastAsia="IBM Plex Mono" w:cs="IBM Plex Mono"/>
                <w:b w:val="0"/>
                <w:sz w:val="16"/>
              </w:rPr>
              <w:t>SSOT v1.1 / CANONICAL</w:t>
            </w:r>
          </w:p>
        </w:tc>
      </w:tr>
    </w:tbl>
    <w:p>
      <w:pPr>
        <w:spacing w:after="280"/>
      </w:pPr>
    </w:p>
    <w:p>
      <w:pPr>
        <w:pBdr>
          <w:top w:val="single" w:sz="4" w:space="5" w:color="DCDCD6"/>
        </w:pBdr>
      </w:pPr>
      <w:r>
        <w:rPr>
          <w:rFonts w:ascii="IBM Plex Mono" w:hAnsi="IBM Plex Mono" w:eastAsia="IBM Plex Mono" w:cs="IBM Plex Mono"/>
          <w:b/>
          <w:color w:val="5A5F5C"/>
          <w:sz w:val="15"/>
        </w:rPr>
        <w:t>SWISS / INTERNATIONAL TYPOGRAPHIC STYLE  ·  GRID  ·  TYPE  ·  RHYTHM  ·  CLARITY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01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EXECUTIVE SUMMARY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DECISION-ORIENTED</w:t>
            </w:r>
          </w:p>
        </w:tc>
      </w:tr>
    </w:tbl>
    <w:p>
      <w:pPr>
        <w:pStyle w:val="SentraLead"/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4"/>
        </w:rPr>
        <w:t>[Replace with a concise executive summary. State context, material finding, implication, and the decision or action required. Keep the first page useful even when read alone.]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101312"/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5"/>
              </w:rPr>
              <w:t>KEY POINT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101312"/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[One sentence containing the single point a decision-maker must retain.]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02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SECTION HEADING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ONE IDEA / SECTION</w:t>
            </w:r>
          </w:p>
        </w:tc>
      </w:tr>
    </w:tbl>
    <w:p>
      <w:pPr>
        <w:pStyle w:val="SentraSubsection"/>
      </w:pPr>
      <w:r>
        <w:rPr>
          <w:rFonts w:ascii="Archivo" w:hAnsi="Archivo" w:eastAsia="Archivo" w:cs="Archivo"/>
          <w:b/>
          <w:sz w:val="27"/>
        </w:rPr>
        <w:t>2.1  SUBSECTION TITLE</w:t>
      </w:r>
    </w:p>
    <w:p>
      <w:pPr>
        <w:pStyle w:val="SentraLead"/>
      </w:pPr>
      <w:r>
        <w:rPr>
          <w:rFonts w:ascii="IBM Plex Sans" w:hAnsi="IBM Plex Sans" w:eastAsia="IBM Plex Sans" w:cs="IBM Plex Sans"/>
          <w:b w:val="0"/>
          <w:sz w:val="24"/>
        </w:rPr>
        <w:t>[Lead / intro text. Use one short paragraph to frame the subsection before sustained body text.]</w:t>
      </w:r>
    </w:p>
    <w:p>
      <w:pPr>
        <w:pStyle w:val="SentraBody"/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[Body text. Use IBM Plex Sans for sustained reading. Prefer short paragraphs, concrete language, and evidence adjacent to the claim it supports. Do not use decorative prose to manufacture importance.]</w:t>
      </w:r>
    </w:p>
    <w:p>
      <w:pPr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[Continue with the minimum content needed to explain the issue. Use whitespace and headings before introducing another container.]</w:t>
      </w:r>
    </w:p>
    <w:p>
      <w:pPr>
        <w:spacing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101312"/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5"/>
              </w:rPr>
              <w:t>KEY POINT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101312"/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[Use for a materially important observation, constraint, or interpretation. Not every section needs one.]</w:t>
            </w:r>
          </w:p>
        </w:tc>
      </w:tr>
    </w:tbl>
    <w:p>
      <w:pPr>
        <w:spacing w:after="1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4082"/>
        <w:gridCol w:w="2041"/>
        <w:gridCol w:w="3742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METRIC / ITEM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CURRENT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INTERPRETATION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Example metric</w:t>
            </w:r>
          </w:p>
        </w:tc>
        <w:tc>
          <w:tcPr>
            <w:tcW w:type="dxa" w:w="204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42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[Explain what 42 means]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Example status</w:t>
            </w:r>
          </w:p>
        </w:tc>
        <w:tc>
          <w:tcPr>
            <w:tcW w:type="dxa" w:w="204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PASS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[State relevance]</w:t>
            </w:r>
          </w:p>
        </w:tc>
      </w:tr>
      <w:tr>
        <w:trPr>
          <w:cantSplit/>
        </w:trPr>
        <w:tc>
          <w:tcPr>
            <w:tcW w:type="dxa" w:w="408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Example variance</w:t>
            </w:r>
          </w:p>
        </w:tc>
        <w:tc>
          <w:tcPr>
            <w:tcW w:type="dxa" w:w="2041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-7%</w:t>
            </w:r>
          </w:p>
        </w:tc>
        <w:tc>
          <w:tcPr>
            <w:tcW w:type="dxa" w:w="374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[State implication]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B8351A"/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DECISION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B8351A"/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/>
                <w:color w:val="101312"/>
                <w:sz w:val="20"/>
              </w:rPr>
              <w:t>[Decision required, decision taken, or governing instruction. Write it as an executable sentence.]</w:t>
            </w:r>
          </w:p>
        </w:tc>
      </w:tr>
    </w:tbl>
    <w:p>
      <w:pPr>
        <w:spacing w:after="1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8277"/>
      </w:tblGrid>
      <w:tr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A11208"/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A11208"/>
                <w:sz w:val="15"/>
              </w:rPr>
              <w:t>RISK / ISSUE</w:t>
            </w:r>
          </w:p>
        </w:tc>
        <w:tc>
          <w:tcPr>
            <w:tcW w:type="dxa" w:w="493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8" w:color="A11208"/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[Describe the risk or issue, consequence, owner or dependency if known, and next control/action. Severity must also be stated in words; color is not sufficient.]</w:t>
            </w:r>
          </w:p>
        </w:tc>
      </w:tr>
    </w:tbl>
    <w:p>
      <w:pPr>
        <w:spacing w:after="180"/>
      </w:pPr>
    </w:p>
    <w:p>
      <w:pPr>
        <w:pBdr>
          <w:top w:val="single" w:sz="8" w:space="8" w:color="101312"/>
        </w:pBdr>
        <w:spacing w:before="200" w:after="120"/>
      </w:pPr>
      <w:r>
        <w:rPr>
          <w:rFonts w:ascii="IBM Plex Sans" w:hAnsi="IBM Plex Sans" w:eastAsia="IBM Plex Sans" w:cs="IBM Plex Sans"/>
          <w:b w:val="0"/>
          <w:color w:val="101312"/>
          <w:sz w:val="31"/>
        </w:rPr>
        <w:t>“[A short governing principle, quotation, or operating rule that clarifies how the section should be interpreted.]”</w:t>
      </w:r>
    </w:p>
    <w:p>
      <w:r>
        <w:rPr>
          <w:rFonts w:ascii="IBM Plex Mono" w:hAnsi="IBM Plex Mono" w:eastAsia="IBM Plex Mono" w:cs="IBM Plex Mono"/>
          <w:b/>
          <w:color w:val="5A5F5C"/>
          <w:sz w:val="15"/>
        </w:rPr>
        <w:t>PRINCIPLE  /  SOURCE / OWNER</w:t>
      </w:r>
    </w:p>
    <w:p>
      <w:pPr>
        <w:spacing w:after="1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03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NUMBERED RECOMMENDATIONS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SEQUENCED / ACTIONABLE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01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[Recommendation stated as a specific action, with the outcome implied or named.]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02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[Second recommendation. Keep sequence meaningful; do not number decorative observations.]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844"/>
      </w:tblGrid>
      <w:tr>
        <w:trPr>
          <w:cantSplit/>
        </w:trPr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6"/>
              </w:rPr>
              <w:t>03</w:t>
            </w:r>
          </w:p>
        </w:tc>
        <w:tc>
          <w:tcPr>
            <w:tcW w:type="dxa" w:w="4933"/>
            <w:tcMar>
              <w:top w:w="70" w:type="dxa"/>
              <w:start w:w="0" w:type="dxa"/>
              <w:bottom w:w="70" w:type="dxa"/>
              <w:end w:w="0" w:type="dxa"/>
            </w:tcMar>
            <w:tcBorders>
              <w:bottom w:val="single" w:sz="4" w:color="DCDCD6"/>
            </w:tcBorders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20"/>
              </w:rPr>
              <w:t>[Third recommendation. Add owner, timing, or dependency in the sentence when material.]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3061"/>
      </w:tblGrid>
      <w:tr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IBM Plex Mono" w:hAnsi="IBM Plex Mono" w:eastAsia="IBM Plex Mono" w:cs="IBM Plex Mono"/>
                <w:b/>
                <w:color w:val="B8351A"/>
                <w:sz w:val="15"/>
              </w:rPr>
              <w:t>A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r>
              <w:rPr>
                <w:rFonts w:ascii="Archivo" w:hAnsi="Archivo" w:eastAsia="Archivo" w:cs="Archivo"/>
                <w:b/>
                <w:color w:val="101312"/>
                <w:sz w:val="22"/>
              </w:rPr>
              <w:t>APPENDIX</w:t>
            </w:r>
          </w:p>
        </w:tc>
        <w:tc>
          <w:tcPr>
            <w:tcW w:type="dxa" w:w="3289"/>
            <w:tcMar>
              <w:top w:w="0" w:type="dxa"/>
              <w:start w:w="0" w:type="dxa"/>
              <w:bottom w:w="70" w:type="dxa"/>
              <w:end w:w="0" w:type="dxa"/>
            </w:tcMar>
            <w:tcBorders>
              <w:bottom w:val="single" w:sz="7" w:color="101312"/>
            </w:tcBorders>
          </w:tcPr>
          <w:p>
            <w:pPr>
              <w:jc w:val="right"/>
            </w:pPr>
            <w:r>
              <w:rPr>
                <w:rFonts w:ascii="IBM Plex Mono" w:hAnsi="IBM Plex Mono" w:eastAsia="IBM Plex Mono" w:cs="IBM Plex Mono"/>
                <w:b/>
                <w:color w:val="5A5F5C"/>
                <w:sz w:val="15"/>
              </w:rPr>
              <w:t>REFERENCE / OPTIONAL</w:t>
            </w:r>
          </w:p>
        </w:tc>
      </w:tr>
    </w:tbl>
    <w:p>
      <w:pPr>
        <w:keepLines w:val="0"/>
      </w:pPr>
      <w:r>
        <w:rPr>
          <w:rFonts w:ascii="IBM Plex Sans" w:hAnsi="IBM Plex Sans" w:eastAsia="IBM Plex Sans" w:cs="IBM Plex Sans"/>
          <w:b w:val="0"/>
          <w:color w:val="101312"/>
          <w:sz w:val="20"/>
        </w:rPr>
        <w:t>Appendices preserve the same grid, typography, table logic, and footer furniture as the main document. They may carry denser evidence, source notes, or technical detail, but they do not become a different visual system.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left w:val="nil" w:sz="0" w:color="DCDCD6"/>
          <w:right w:val="nil" w:sz="0" w:color="DCDCD6"/>
          <w:insideV w:val="nil" w:sz="0" w:color="DCDCD6"/>
          <w:top w:val="single" w:sz="8" w:color="101312"/>
          <w:bottom w:val="single" w:sz="8" w:color="101312"/>
          <w:insideH w:val="single" w:sz="4" w:color="DCDCD6"/>
        </w:tblBorders>
      </w:tblPr>
      <w:tblGrid>
        <w:gridCol w:w="1474"/>
        <w:gridCol w:w="6236"/>
        <w:gridCol w:w="2154"/>
      </w:tblGrid>
      <w:tr>
        <w:trPr>
          <w:tblHeader w:val="true"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REF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ITEM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/>
                <w:color w:val="101312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A.01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Source inventory</w:t>
            </w:r>
          </w:p>
        </w:tc>
        <w:tc>
          <w:tcPr>
            <w:tcW w:type="dxa" w:w="215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Verified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A.02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Supporting data</w:t>
            </w:r>
          </w:p>
        </w:tc>
        <w:tc>
          <w:tcPr>
            <w:tcW w:type="dxa" w:w="215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Attach / reference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A.03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Sans" w:hAnsi="IBM Plex Sans" w:eastAsia="IBM Plex Sans" w:cs="IBM Plex Sans"/>
                <w:b w:val="0"/>
                <w:color w:val="101312"/>
                <w:sz w:val="17"/>
              </w:rPr>
              <w:t>Approvals</w:t>
            </w:r>
          </w:p>
        </w:tc>
        <w:tc>
          <w:tcPr>
            <w:tcW w:type="dxa" w:w="215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IBM Plex Mono" w:hAnsi="IBM Plex Mono" w:eastAsia="IBM Plex Mono" w:cs="IBM Plex Mono"/>
                <w:b w:val="0"/>
                <w:color w:val="101312"/>
                <w:sz w:val="17"/>
              </w:rPr>
              <w:t>Record as applicable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794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798"/>
      <w:gridCol w:w="1871"/>
      <w:gridCol w:w="2041"/>
      <w:gridCol w:w="2154"/>
    </w:tblGrid>
    <w:tr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SENTRA-DOC-TPL-001</w:t>
          </w:r>
        </w:p>
      </w:tc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v1.1</w:t>
          </w:r>
        </w:p>
      </w:tc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 xml:space="preserve">PAGE </w:t>
          </w:r>
          <w:r/>
          <w:fldSimple w:instr="PAGE"/>
        </w:p>
      </w:tc>
      <w:tc>
        <w:tcPr>
          <w:tcW w:type="dxa" w:w="2466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INTERNAL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6350"/>
      <w:gridCol w:w="3515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4" w:color="DCDCD6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34000" cy="234000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ntra-logomark-master-black-102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" cy="23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hAnsi="IBM Plex Mono" w:eastAsia="IBM Plex Mono" w:cs="IBM Plex Mono"/>
              <w:b/>
              <w:color w:val="101312"/>
              <w:sz w:val="14"/>
            </w:rPr>
            <w:t xml:space="preserve">  SENTRA ARTIFICIAL INTELLIGENCE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4" w:color="DCDCD6"/>
          </w:tcBorders>
        </w:tcPr>
        <w:p>
          <w:pPr>
            <w:jc w:val="right"/>
          </w:pPr>
          <w:r>
            <w:rPr>
              <w:rFonts w:ascii="IBM Plex Mono" w:hAnsi="IBM Plex Mono" w:eastAsia="IBM Plex Mono" w:cs="IBM Plex Mono"/>
              <w:b w:val="0"/>
              <w:color w:val="5A5F5C"/>
              <w:sz w:val="14"/>
            </w:rPr>
            <w:t>DOCUMENT SYSTEM / CANONICAL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IBM Plex Sans" w:hAnsi="IBM Plex Sans"/>
      <w:color w:val="1013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chivo" w:hAnsi="Archivo"/>
      <w:b/>
      <w:bCs/>
      <w:color w:val="10131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chivo" w:hAnsi="Archivo"/>
      <w:b/>
      <w:bCs/>
      <w:color w:val="10131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chivo" w:hAnsi="Archivo"/>
      <w:b/>
      <w:bCs/>
      <w:color w:val="10131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chivo" w:hAnsi="Archivo"/>
      <w:b/>
      <w:color w:val="10131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raLabel">
    <w:name w:val="Sentra Label"/>
    <w:pPr>
      <w:spacing w:after="100"/>
    </w:pPr>
    <w:rPr>
      <w:rFonts w:ascii="IBM Plex Mono" w:hAnsi="IBM Plex Mono"/>
      <w:b w:val="0"/>
      <w:color w:val="5A5F5C"/>
      <w:sz w:val="15"/>
    </w:rPr>
  </w:style>
  <w:style w:type="paragraph" w:customStyle="1" w:styleId="SentraMeta">
    <w:name w:val="Sentra Meta"/>
    <w:pPr>
      <w:spacing w:after="100"/>
    </w:pPr>
    <w:rPr>
      <w:rFonts w:ascii="IBM Plex Mono" w:hAnsi="IBM Plex Mono"/>
      <w:b w:val="0"/>
      <w:color w:val="5A5F5C"/>
      <w:sz w:val="16"/>
    </w:rPr>
  </w:style>
  <w:style w:type="paragraph" w:customStyle="1" w:styleId="SentraLead">
    <w:name w:val="Sentra Lead"/>
    <w:pPr>
      <w:spacing w:after="100"/>
    </w:pPr>
    <w:rPr>
      <w:rFonts w:ascii="IBM Plex Sans" w:hAnsi="IBM Plex Sans"/>
      <w:b w:val="0"/>
      <w:color w:val="101312"/>
      <w:sz w:val="24"/>
    </w:rPr>
  </w:style>
  <w:style w:type="paragraph" w:customStyle="1" w:styleId="SentraQuote">
    <w:name w:val="Sentra Quote"/>
    <w:pPr>
      <w:spacing w:after="100"/>
    </w:pPr>
    <w:rPr>
      <w:rFonts w:ascii="IBM Plex Sans" w:hAnsi="IBM Plex Sans"/>
      <w:b w:val="0"/>
      <w:color w:val="101312"/>
      <w:sz w:val="31"/>
    </w:rPr>
  </w:style>
  <w:style w:type="paragraph" w:customStyle="1" w:styleId="SentraSubsection">
    <w:name w:val="Sentra Subsection"/>
    <w:basedOn w:val="Normal"/>
    <w:pPr>
      <w:spacing w:before="140" w:after="60"/>
    </w:pPr>
    <w:rPr>
      <w:rFonts w:ascii="Archivo" w:hAnsi="Archivo" w:eastAsia="Archivo" w:cs="Archivo"/>
      <w:b/>
      <w:sz w:val="27"/>
    </w:rPr>
  </w:style>
  <w:style w:type="paragraph" w:customStyle="1" w:styleId="SentraBody">
    <w:name w:val="Sentra Body"/>
    <w:basedOn w:val="Normal"/>
    <w:pPr>
      <w:spacing w:before="0" w:after="100"/>
    </w:pPr>
    <w:rPr>
      <w:rFonts w:ascii="IBM Plex Sans" w:hAnsi="IBM Plex Sans" w:eastAsia="IBM Plex Sans" w:cs="IBM Plex Sans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Sentra Corporate Document Template v1.1</dc:title>
  <dc:subject>Sentra Corporate Document System</dc:subject>
  <dc:creator>Sentra Artificial Intelligence</dc:creator>
  <cp:keywords>Sentra Artificial Intelligence; Corporate Document System; v1.1; FINAL; CANONICAL</cp:keywords>
  <dc:description>Status: FINAL; Authority: CANONICAL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