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64.0" w:type="dxa"/>
        <w:jc w:val="left"/>
        <w:tblInd w:w="-115.0" w:type="dxa"/>
        <w:tblLayout w:type="fixed"/>
        <w:tblLook w:val="0400"/>
      </w:tblPr>
      <w:tblGrid>
        <w:gridCol w:w="6123"/>
        <w:gridCol w:w="680"/>
        <w:gridCol w:w="3061"/>
        <w:tblGridChange w:id="0">
          <w:tblGrid>
            <w:gridCol w:w="6123"/>
            <w:gridCol w:w="680"/>
            <w:gridCol w:w="3061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CORPORATE DOCUMENT / V1.1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320" w:lineRule="auto"/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68"/>
                <w:szCs w:val="68"/>
                <w:rtl w:val="0"/>
              </w:rPr>
              <w:t xml:space="preserve">Corporate Document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6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5a5f5c"/>
                <w:sz w:val="25"/>
                <w:szCs w:val="25"/>
                <w:rtl w:val="0"/>
              </w:rPr>
              <w:t xml:space="preserve">Reusable long-form system for official Sentra documents.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color="101312" w:space="6" w:sz="10" w:val="single"/>
              </w:pBdr>
              <w:spacing w:before="4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Sentra documents are information systems in print: structured, objective, aligned, and quiet.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bottom w:color="b8351a" w:space="4" w:sz="8" w:val="single"/>
              </w:pBd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7"/>
                <w:szCs w:val="17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2026-09-20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Sentra 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SENTRA-DOC-TPL-001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10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sz w:val="16"/>
                <w:szCs w:val="16"/>
                <w:rtl w:val="0"/>
              </w:rPr>
              <w:t xml:space="preserve">SSOT v1.1 / CANONICAL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dcdcd6" w:space="5" w:sz="4" w:val="single"/>
        </w:pBdr>
        <w:rPr/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color w:val="5a5f5c"/>
          <w:sz w:val="15"/>
          <w:szCs w:val="15"/>
          <w:rtl w:val="0"/>
        </w:rPr>
        <w:t xml:space="preserve">SWISS / INTERNATIONAL TYPOGRAPHIC STYLE  ·  GRID  ·  TYPE  ·  RHYTHM  · 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DECISION-ORIENTED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0131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01312"/>
          <w:sz w:val="24"/>
          <w:szCs w:val="24"/>
          <w:u w:val="none"/>
          <w:shd w:fill="auto" w:val="clear"/>
          <w:vertAlign w:val="baseline"/>
          <w:rtl w:val="0"/>
        </w:rPr>
        <w:t xml:space="preserve">[Replace with a concise executive summary. State context, material finding, implication, and the decision or action required. Keep the first page useful even when read alone.]</w:t>
      </w:r>
    </w:p>
    <w:tbl>
      <w:tblPr>
        <w:tblStyle w:val="Table3"/>
        <w:tblW w:w="9864.0" w:type="dxa"/>
        <w:jc w:val="left"/>
        <w:tblInd w:w="-115.0" w:type="dxa"/>
        <w:tblLayout w:type="fixed"/>
        <w:tblLook w:val="0400"/>
      </w:tblPr>
      <w:tblGrid>
        <w:gridCol w:w="1587"/>
        <w:gridCol w:w="8277"/>
        <w:tblGridChange w:id="0">
          <w:tblGrid>
            <w:gridCol w:w="1587"/>
            <w:gridCol w:w="82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01312" w:space="0" w:sz="8" w:val="single"/>
              <w:bottom w:color="dcdcd6" w:space="0" w:sz="4" w:val="single"/>
            </w:tcBorders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5"/>
                <w:szCs w:val="15"/>
                <w:rtl w:val="0"/>
              </w:rPr>
              <w:t xml:space="preserve">KEY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01312" w:space="0" w:sz="8" w:val="single"/>
              <w:bottom w:color="dcdcd6" w:space="0" w:sz="4" w:val="single"/>
            </w:tcBorders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[One sentence containing the single point a decision-maker must retain.]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SECTION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ONE IDEA / SECTION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83" w:lineRule="auto"/>
        <w:ind w:left="0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101312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101312"/>
          <w:sz w:val="27"/>
          <w:szCs w:val="27"/>
          <w:u w:val="none"/>
          <w:shd w:fill="auto" w:val="clear"/>
          <w:vertAlign w:val="baseline"/>
          <w:rtl w:val="0"/>
        </w:rPr>
        <w:t xml:space="preserve">2.1  SUBSECTION TITLE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0131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01312"/>
          <w:sz w:val="24"/>
          <w:szCs w:val="24"/>
          <w:u w:val="none"/>
          <w:shd w:fill="auto" w:val="clear"/>
          <w:vertAlign w:val="baseline"/>
          <w:rtl w:val="0"/>
        </w:rPr>
        <w:t xml:space="preserve">[Lead / intro text. Use one short paragraph to frame the subsection before sustained body text.]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0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0131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01312"/>
          <w:sz w:val="20"/>
          <w:szCs w:val="20"/>
          <w:u w:val="none"/>
          <w:shd w:fill="auto" w:val="clear"/>
          <w:vertAlign w:val="baseline"/>
          <w:rtl w:val="0"/>
        </w:rPr>
        <w:t xml:space="preserve">[Body text. Use IBM Plex Sans for sustained reading. Prefer short paragraphs, concrete language, and evidence adjacent to the claim it supports. Do not use decorative prose to manufacture importance.]</w:t>
      </w:r>
    </w:p>
    <w:p w:rsidR="00000000" w:rsidDel="00000000" w:rsidP="00000000" w:rsidRDefault="00000000" w:rsidRPr="00000000" w14:paraId="00000025">
      <w:pPr>
        <w:keepLines w:val="0"/>
        <w:rPr/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101312"/>
          <w:sz w:val="20"/>
          <w:szCs w:val="20"/>
          <w:rtl w:val="0"/>
        </w:rPr>
        <w:t xml:space="preserve">[Continue with the minimum content needed to explain the issue. Use whitespace and headings before introducing another container.]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64.0" w:type="dxa"/>
        <w:jc w:val="left"/>
        <w:tblInd w:w="-115.0" w:type="dxa"/>
        <w:tblLayout w:type="fixed"/>
        <w:tblLook w:val="0400"/>
      </w:tblPr>
      <w:tblGrid>
        <w:gridCol w:w="1587"/>
        <w:gridCol w:w="8277"/>
        <w:tblGridChange w:id="0">
          <w:tblGrid>
            <w:gridCol w:w="1587"/>
            <w:gridCol w:w="82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01312" w:space="0" w:sz="8" w:val="single"/>
              <w:bottom w:color="dcdcd6" w:space="0" w:sz="4" w:val="single"/>
            </w:tcBorders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5"/>
                <w:szCs w:val="15"/>
                <w:rtl w:val="0"/>
              </w:rPr>
              <w:t xml:space="preserve">KEY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01312" w:space="0" w:sz="8" w:val="single"/>
              <w:bottom w:color="dcdcd6" w:space="0" w:sz="4" w:val="single"/>
            </w:tcBorders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[Use for a materially important observation, constraint, or interpretation. Not every section needs one.]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65.0" w:type="dxa"/>
        <w:jc w:val="left"/>
        <w:tblInd w:w="-115.0" w:type="dxa"/>
        <w:tblBorders>
          <w:top w:color="101312" w:space="0" w:sz="8" w:val="single"/>
          <w:left w:color="000000" w:space="0" w:sz="0" w:val="nil"/>
          <w:bottom w:color="101312" w:space="0" w:sz="8" w:val="single"/>
          <w:right w:color="000000" w:space="0" w:sz="0" w:val="nil"/>
          <w:insideH w:color="dcdcd6" w:space="0" w:sz="4" w:val="single"/>
          <w:insideV w:color="000000" w:space="0" w:sz="0" w:val="nil"/>
        </w:tblBorders>
        <w:tblLayout w:type="fixed"/>
        <w:tblLook w:val="0400"/>
      </w:tblPr>
      <w:tblGrid>
        <w:gridCol w:w="4082"/>
        <w:gridCol w:w="2041"/>
        <w:gridCol w:w="3742"/>
        <w:tblGridChange w:id="0">
          <w:tblGrid>
            <w:gridCol w:w="4082"/>
            <w:gridCol w:w="2041"/>
            <w:gridCol w:w="3742"/>
          </w:tblGrid>
        </w:tblGridChange>
      </w:tblGrid>
      <w:tr>
        <w:trPr>
          <w:cantSplit w:val="0"/>
          <w:tblHeader w:val="1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METRIC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Example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[Explain what 42 means]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Example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[State relevance]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Example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-7%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[State implication]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64.0" w:type="dxa"/>
        <w:jc w:val="left"/>
        <w:tblInd w:w="-115.0" w:type="dxa"/>
        <w:tblLayout w:type="fixed"/>
        <w:tblLook w:val="0400"/>
      </w:tblPr>
      <w:tblGrid>
        <w:gridCol w:w="1587"/>
        <w:gridCol w:w="8277"/>
        <w:tblGridChange w:id="0">
          <w:tblGrid>
            <w:gridCol w:w="1587"/>
            <w:gridCol w:w="82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51a" w:space="0" w:sz="8" w:val="single"/>
              <w:bottom w:color="dcdcd6" w:space="0" w:sz="4" w:val="single"/>
            </w:tcBorders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51a" w:space="0" w:sz="8" w:val="single"/>
              <w:bottom w:color="dcdcd6" w:space="0" w:sz="4" w:val="single"/>
            </w:tcBorders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01312"/>
                <w:sz w:val="20"/>
                <w:szCs w:val="20"/>
                <w:rtl w:val="0"/>
              </w:rPr>
              <w:t xml:space="preserve">[Decision required, decision taken, or governing instruction. Write it as an executable sentence.]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64.0" w:type="dxa"/>
        <w:jc w:val="left"/>
        <w:tblInd w:w="-115.0" w:type="dxa"/>
        <w:tblLayout w:type="fixed"/>
        <w:tblLook w:val="0400"/>
      </w:tblPr>
      <w:tblGrid>
        <w:gridCol w:w="1587"/>
        <w:gridCol w:w="8277"/>
        <w:tblGridChange w:id="0">
          <w:tblGrid>
            <w:gridCol w:w="1587"/>
            <w:gridCol w:w="82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11208" w:space="0" w:sz="8" w:val="single"/>
              <w:bottom w:color="dcdcd6" w:space="0" w:sz="4" w:val="single"/>
            </w:tcBorders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a11208"/>
                <w:sz w:val="15"/>
                <w:szCs w:val="15"/>
                <w:rtl w:val="0"/>
              </w:rPr>
              <w:t xml:space="preserve">RISK /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11208" w:space="0" w:sz="8" w:val="single"/>
              <w:bottom w:color="dcdcd6" w:space="0" w:sz="4" w:val="single"/>
            </w:tcBorders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[Describe the risk or issue, consequence, owner or dependency if known, and next control/action. Severity must also be stated in words; color is not sufficient.]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101312" w:space="8" w:sz="8" w:val="single"/>
        </w:pBdr>
        <w:spacing w:after="120" w:before="20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101312"/>
          <w:sz w:val="31"/>
          <w:szCs w:val="31"/>
          <w:rtl w:val="0"/>
        </w:rPr>
        <w:t xml:space="preserve">“[A short governing principle, quotation, or operating rule that clarifies how the section should be interpreted.]”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color w:val="5a5f5c"/>
          <w:sz w:val="15"/>
          <w:szCs w:val="15"/>
          <w:rtl w:val="0"/>
        </w:rPr>
        <w:t xml:space="preserve">PRINCIPLE  /  SOURCE /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NUMBERED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SEQUENCED / ACTIONABLE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[Recommendation stated as a specific action, with the outcome implied or named.]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[Second recommendation. Keep sequence meaningful; do not number decorative observations.]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[Third recommendation. Add owner, timing, or dependency in the sentence when material.]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REFERENCE / 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Lines w:val="0"/>
        <w:rPr/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101312"/>
          <w:sz w:val="20"/>
          <w:szCs w:val="20"/>
          <w:rtl w:val="0"/>
        </w:rPr>
        <w:t xml:space="preserve">Appendices preserve the same grid, typography, table logic, and footer furniture as the main document. They may carry denser evidence, source notes, or technical detail, but they do not become a different visual system.</w:t>
      </w:r>
      <w:r w:rsidDel="00000000" w:rsidR="00000000" w:rsidRPr="00000000">
        <w:rPr>
          <w:rtl w:val="0"/>
        </w:rPr>
      </w:r>
    </w:p>
    <w:tbl>
      <w:tblPr>
        <w:tblStyle w:val="Table11"/>
        <w:tblW w:w="9864.0" w:type="dxa"/>
        <w:jc w:val="left"/>
        <w:tblInd w:w="-115.0" w:type="dxa"/>
        <w:tblBorders>
          <w:top w:color="101312" w:space="0" w:sz="8" w:val="single"/>
          <w:left w:color="000000" w:space="0" w:sz="0" w:val="nil"/>
          <w:bottom w:color="101312" w:space="0" w:sz="8" w:val="single"/>
          <w:right w:color="000000" w:space="0" w:sz="0" w:val="nil"/>
          <w:insideH w:color="dcdcd6" w:space="0" w:sz="4" w:val="single"/>
          <w:insideV w:color="000000" w:space="0" w:sz="0" w:val="nil"/>
        </w:tblBorders>
        <w:tblLayout w:type="fixed"/>
        <w:tblLook w:val="0400"/>
      </w:tblPr>
      <w:tblGrid>
        <w:gridCol w:w="1474"/>
        <w:gridCol w:w="6236"/>
        <w:gridCol w:w="2154"/>
        <w:tblGridChange w:id="0">
          <w:tblGrid>
            <w:gridCol w:w="1474"/>
            <w:gridCol w:w="6236"/>
            <w:gridCol w:w="2154"/>
          </w:tblGrid>
        </w:tblGridChange>
      </w:tblGrid>
      <w:tr>
        <w:trPr>
          <w:cantSplit w:val="0"/>
          <w:tblHeader w:val="1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Source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Supporting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Attach /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Record as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94" w:top="850" w:left="1020" w:right="1020" w:header="340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chi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bCs w:val="0"/>
        <w:i w:val="0"/>
        <w:iCs w:val="0"/>
        <w:smallCaps w:val="0"/>
        <w:strike w:val="0"/>
        <w:color w:val="101312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864.0" w:type="dxa"/>
      <w:jc w:val="left"/>
      <w:tblInd w:w="-115.0" w:type="dxa"/>
      <w:tblLayout w:type="fixed"/>
      <w:tblLook w:val="0400"/>
    </w:tblPr>
    <w:tblGrid>
      <w:gridCol w:w="3798"/>
      <w:gridCol w:w="1871"/>
      <w:gridCol w:w="2041"/>
      <w:gridCol w:w="2154"/>
      <w:tblGridChange w:id="0">
        <w:tblGrid>
          <w:gridCol w:w="3798"/>
          <w:gridCol w:w="1871"/>
          <w:gridCol w:w="2041"/>
          <w:gridCol w:w="2154"/>
        </w:tblGrid>
      </w:tblGridChange>
    </w:tblGrid>
    <w:tr>
      <w:trPr>
        <w:cantSplit w:val="0"/>
        <w:tblHeader w:val="0"/>
      </w:trPr>
      <w:tc>
        <w:tcPr>
          <w:tcBorders>
            <w:top w:color="dcdcd6" w:space="0" w:sz="4" w:val="single"/>
          </w:tcBorders>
          <w:tcMar>
            <w:top w:w="70.0" w:type="dxa"/>
            <w:bottom w:w="0.0" w:type="dxa"/>
          </w:tcMar>
        </w:tcPr>
        <w:p w:rsidR="00000000" w:rsidDel="00000000" w:rsidP="00000000" w:rsidRDefault="00000000" w:rsidRPr="00000000" w14:paraId="00000060">
          <w:pPr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SENTRA-DOC-TPL-001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cdcd6" w:space="0" w:sz="4" w:val="single"/>
          </w:tcBorders>
          <w:tcMar>
            <w:top w:w="70.0" w:type="dxa"/>
            <w:bottom w:w="0.0" w:type="dxa"/>
          </w:tcMar>
        </w:tcPr>
        <w:p w:rsidR="00000000" w:rsidDel="00000000" w:rsidP="00000000" w:rsidRDefault="00000000" w:rsidRPr="00000000" w14:paraId="00000061">
          <w:pPr>
            <w:jc w:val="right"/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v1.1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cdcd6" w:space="0" w:sz="4" w:val="single"/>
          </w:tcBorders>
          <w:tcMar>
            <w:top w:w="70.0" w:type="dxa"/>
            <w:bottom w:w="0.0" w:type="dxa"/>
          </w:tcMar>
        </w:tcPr>
        <w:p w:rsidR="00000000" w:rsidDel="00000000" w:rsidP="00000000" w:rsidRDefault="00000000" w:rsidRPr="00000000" w14:paraId="00000062">
          <w:pPr>
            <w:jc w:val="right"/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cdcd6" w:space="0" w:sz="4" w:val="single"/>
          </w:tcBorders>
          <w:tcMar>
            <w:top w:w="70.0" w:type="dxa"/>
            <w:bottom w:w="0.0" w:type="dxa"/>
          </w:tcMar>
        </w:tcPr>
        <w:p w:rsidR="00000000" w:rsidDel="00000000" w:rsidP="00000000" w:rsidRDefault="00000000" w:rsidRPr="00000000" w14:paraId="00000063">
          <w:pPr>
            <w:jc w:val="right"/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INTERNAL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bCs w:val="0"/>
        <w:i w:val="0"/>
        <w:iCs w:val="0"/>
        <w:smallCaps w:val="0"/>
        <w:strike w:val="0"/>
        <w:color w:val="101312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865.0" w:type="dxa"/>
      <w:jc w:val="left"/>
      <w:tblInd w:w="-115.0" w:type="dxa"/>
      <w:tblLayout w:type="fixed"/>
      <w:tblLook w:val="0400"/>
    </w:tblPr>
    <w:tblGrid>
      <w:gridCol w:w="6350"/>
      <w:gridCol w:w="3515"/>
      <w:tblGridChange w:id="0">
        <w:tblGrid>
          <w:gridCol w:w="6350"/>
          <w:gridCol w:w="3515"/>
        </w:tblGrid>
      </w:tblGridChange>
    </w:tblGrid>
    <w:tr>
      <w:trPr>
        <w:cantSplit w:val="0"/>
        <w:tblHeader w:val="0"/>
      </w:trPr>
      <w:tc>
        <w:tcPr>
          <w:tcBorders>
            <w:bottom w:color="dcdcd6" w:space="0" w:sz="4" w:val="single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234000" cy="234000"/>
                <wp:effectExtent b="0" l="0" r="0" t="0"/>
                <wp:docPr descr="Image: item1.xml" id="1" name="image1.png"/>
                <a:graphic>
                  <a:graphicData uri="http://schemas.openxmlformats.org/drawingml/2006/picture">
                    <pic:pic>
                      <pic:nvPicPr>
                        <pic:cNvPr descr="Image: item1.xml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" cy="23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IBM Plex Mono" w:cs="IBM Plex Mono" w:eastAsia="IBM Plex Mono" w:hAnsi="IBM Plex Mono"/>
              <w:b w:val="1"/>
              <w:bCs w:val="1"/>
              <w:color w:val="101312"/>
              <w:sz w:val="14"/>
              <w:szCs w:val="14"/>
              <w:rtl w:val="0"/>
            </w:rPr>
            <w:t xml:space="preserve">  SENTRA ARTIFICIAL INTELLIGENCE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cdcd6" w:space="0" w:sz="4" w:val="single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5D">
          <w:pPr>
            <w:jc w:val="right"/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DOCUMENT SYSTEM / CANONICAL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color w:val="101312"/>
        <w:lang w:val="en"/>
      </w:rPr>
    </w:rPrDefault>
    <w:pPrDefault>
      <w:pPr>
        <w:spacing w:after="120" w:line="28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20" w:lineRule="auto"/>
    </w:pPr>
    <w:rPr>
      <w:rFonts w:ascii="Archivo" w:cs="Archivo" w:eastAsia="Archivo" w:hAnsi="Archivo"/>
      <w:b w:val="1"/>
      <w:bCs w:val="1"/>
      <w:color w:val="101312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Archivo" w:cs="Archivo" w:eastAsia="Archivo" w:hAnsi="Archivo"/>
      <w:b w:val="1"/>
      <w:bCs w:val="1"/>
      <w:color w:val="10131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20" w:lineRule="auto"/>
    </w:pPr>
    <w:rPr>
      <w:rFonts w:ascii="Archivo" w:cs="Archivo" w:eastAsia="Archivo" w:hAnsi="Archivo"/>
      <w:b w:val="1"/>
      <w:bCs w:val="1"/>
      <w:color w:val="101312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00" w:before="220" w:line="240" w:lineRule="auto"/>
    </w:pPr>
    <w:rPr>
      <w:rFonts w:ascii="Archivo" w:cs="Archivo" w:eastAsia="Archivo" w:hAnsi="Archivo"/>
      <w:b w:val="1"/>
      <w:bCs w:val="1"/>
      <w:color w:val="101312"/>
      <w:sz w:val="68"/>
      <w:szCs w:val="6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Mono-italic.ttf"/><Relationship Id="rId10" Type="http://schemas.openxmlformats.org/officeDocument/2006/relationships/font" Target="fonts/IBMPlexMono-bold.ttf"/><Relationship Id="rId12" Type="http://schemas.openxmlformats.org/officeDocument/2006/relationships/font" Target="fonts/IBMPlexMono-boldItalic.ttf"/><Relationship Id="rId9" Type="http://schemas.openxmlformats.org/officeDocument/2006/relationships/font" Target="fonts/IBMPlexMono-regular.ttf"/><Relationship Id="rId5" Type="http://schemas.openxmlformats.org/officeDocument/2006/relationships/font" Target="fonts/Archivo-regular.ttf"/><Relationship Id="rId6" Type="http://schemas.openxmlformats.org/officeDocument/2006/relationships/font" Target="fonts/Archivo-bold.ttf"/><Relationship Id="rId7" Type="http://schemas.openxmlformats.org/officeDocument/2006/relationships/font" Target="fonts/Archivo-italic.ttf"/><Relationship Id="rId8" Type="http://schemas.openxmlformats.org/officeDocument/2006/relationships/font" Target="fonts/Archiv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