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Borders/>
        <w:jc w:val="left"/>
        <w:tblInd w:type="dxa" w:w="-108"/>
      </w:tblPr>
      <w:tblGrid>
        <w:gridCol w:w="1812"/>
        <w:gridCol w:w="10742"/>
      </w:tblGrid>
      <w:tr>
        <w:trPr>
          <w:trHeight w:hRule="exact" w:val="993"/>
          <w:cantSplit w:val="off"/>
        </w:trPr>
        <w:tc>
          <w:tcPr>
            <w:tcBorders/>
            <w:shd w:fill="FFFFFF"/>
            <w:tcW w:type="dxa" w:w="181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pict/>
            </w:r>
          </w:p>
        </w:tc>
        <w:tc>
          <w:tcPr>
            <w:tcBorders/>
            <w:shd w:fill="FFFFFF"/>
            <w:tcW w:type="dxa" w:w="1074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2"/>
                <w:rFonts w:ascii="Helvetica" w:hAnsi="Helvetica"/>
              </w:rPr>
              <w:t>EUROPEAN COMMISSION</w:t>
            </w:r>
          </w:p>
          <w:p>
            <w:pPr>
              <w:pStyle w:val="style0"/>
            </w:pPr>
            <w:r>
              <w:rPr>
                <w:sz w:val="16"/>
                <w:rFonts w:ascii="Helvetica" w:hAnsi="Helvetica"/>
              </w:rPr>
              <w:t>JOINT RESEARCH CENTRE</w:t>
            </w:r>
          </w:p>
          <w:p>
            <w:pPr>
              <w:pStyle w:val="style0"/>
            </w:pPr>
            <w:bookmarkStart w:id="0" w:name="Institute"/>
            <w:bookmarkEnd w:id="0"/>
            <w:r>
              <w:rPr>
                <w:sz w:val="16"/>
                <w:rFonts w:ascii="Helvetica" w:hAnsi="Helvetica"/>
              </w:rPr>
              <w:t>Institute for the Protection and Security of the Citizen</w:t>
            </w:r>
          </w:p>
          <w:p>
            <w:pPr>
              <w:pStyle w:val="style32"/>
              <w:widowControl/>
            </w:pPr>
            <w:bookmarkStart w:id="1" w:name="Unit"/>
            <w:bookmarkEnd w:id="1"/>
            <w:r>
              <w:rPr>
                <w:color w:val="FF0000"/>
              </w:rPr>
              <w:t>Unit ………….……</w:t>
            </w:r>
          </w:p>
        </w:tc>
      </w:tr>
    </w:tbl>
    <w:p>
      <w:pPr>
        <w:pStyle w:val="style0"/>
        <w:tabs>
          <w:tab w:leader="none" w:pos="6946" w:val="left"/>
          <w:tab w:leader="none" w:pos="19137" w:val="left"/>
        </w:tabs>
        <w:ind w:hanging="0" w:left="6237" w:right="-766"/>
      </w:pPr>
      <w:r>
        <w:rPr>
          <w:sz w:val="22"/>
          <w:szCs w:val="22"/>
        </w:rPr>
        <w:t xml:space="preserve">Ispra, </w:t>
      </w:r>
    </w:p>
    <w:p>
      <w:pPr>
        <w:pStyle w:val="style0"/>
        <w:tabs>
          <w:tab w:leader="none" w:pos="6946" w:val="left"/>
          <w:tab w:leader="none" w:pos="19137" w:val="left"/>
        </w:tabs>
        <w:ind w:hanging="0" w:left="6237" w:right="-766"/>
      </w:pPr>
      <w:r>
        <w:rPr/>
      </w:r>
    </w:p>
    <w:p>
      <w:pPr>
        <w:pStyle w:val="style0"/>
        <w:tabs>
          <w:tab w:leader="none" w:pos="709" w:val="left"/>
          <w:tab w:leader="none" w:pos="6210" w:val="left"/>
        </w:tabs>
        <w:ind w:hanging="0" w:left="0" w:right="-766"/>
      </w:pPr>
      <w:r>
        <w:rPr/>
      </w:r>
    </w:p>
    <w:p>
      <w:pPr>
        <w:pStyle w:val="style0"/>
        <w:jc w:val="both"/>
        <w:ind w:hanging="0" w:left="0" w:right="-766"/>
      </w:pPr>
      <w:r>
        <w:rPr>
          <w:sz w:val="22"/>
          <w:szCs w:val="22"/>
        </w:rPr>
        <w:t>Dear Mr Henrik Gislason,</w:t>
      </w:r>
    </w:p>
    <w:p>
      <w:pPr>
        <w:pStyle w:val="style0"/>
        <w:jc w:val="both"/>
        <w:ind w:hanging="0" w:left="0" w:right="-766"/>
      </w:pPr>
      <w:r>
        <w:rPr/>
      </w:r>
    </w:p>
    <w:p>
      <w:pPr>
        <w:pStyle w:val="style0"/>
        <w:jc w:val="both"/>
        <w:ind w:hanging="0" w:left="0" w:right="-766"/>
      </w:pPr>
      <w:r>
        <w:rPr/>
      </w:r>
    </w:p>
    <w:p>
      <w:pPr>
        <w:pStyle w:val="style0"/>
        <w:jc w:val="both"/>
        <w:ind w:hanging="0" w:left="0" w:right="-766"/>
      </w:pPr>
      <w:r>
        <w:rPr>
          <w:sz w:val="22"/>
          <w:szCs w:val="22"/>
        </w:rPr>
        <w:t>I am pleased to invite you to a meeting, the 2nd to 4th of May at JRC in Varese, Italy,</w:t>
      </w:r>
      <w:r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 xml:space="preserve">on the topic of: “fisheries management based on life history parameters” integrated on the “a4a” initiative (please visit </w:t>
      </w:r>
      <w:hyperlink r:id="rId2">
        <w:r>
          <w:rPr>
            <w:sz w:val="22"/>
            <w:szCs w:val="22"/>
            <w:rStyle w:val="style17"/>
          </w:rPr>
          <w:t>http://fishreg.jrc.ec.europa.eu/projects</w:t>
        </w:r>
      </w:hyperlink>
      <w:r>
        <w:rPr>
          <w:sz w:val="22"/>
          <w:szCs w:val="22"/>
        </w:rPr>
        <w:t xml:space="preserve"> for more information).  </w:t>
      </w:r>
    </w:p>
    <w:p>
      <w:pPr>
        <w:pStyle w:val="style28"/>
        <w:jc w:val="both"/>
        <w:widowControl/>
        <w:ind w:hanging="0" w:left="0" w:right="-766"/>
      </w:pPr>
      <w:r>
        <w:rPr/>
      </w:r>
    </w:p>
    <w:p>
      <w:pPr>
        <w:pStyle w:val="style28"/>
        <w:jc w:val="both"/>
        <w:widowControl/>
        <w:ind w:hanging="0" w:left="0" w:right="-766"/>
      </w:pPr>
      <w:r>
        <w:rPr>
          <w:sz w:val="22"/>
          <w:szCs w:val="22"/>
          <w:lang w:val="en-GB"/>
        </w:rPr>
        <w:t xml:space="preserve">Please confirm with our secretary your participation to the meeting. The contact details of our secretary are as follows: </w:t>
      </w:r>
      <w:r>
        <w:rPr>
          <w:color w:val="FF0000"/>
          <w:sz w:val="22"/>
          <w:szCs w:val="22"/>
          <w:lang w:val="en-GB"/>
        </w:rPr>
        <w:t>Ms. ……………. (Phone: +39-0332-78..…; Fax: +39-0332-78…...; Email: ………..…)</w:t>
      </w:r>
      <w:r>
        <w:rPr>
          <w:sz w:val="22"/>
          <w:szCs w:val="22"/>
          <w:lang w:val="en-GB"/>
        </w:rPr>
        <w:t>. Should you need further information, please do not hesitate to contact her.</w:t>
      </w:r>
    </w:p>
    <w:p>
      <w:pPr>
        <w:pStyle w:val="style0"/>
        <w:jc w:val="both"/>
        <w:ind w:hanging="0" w:left="0" w:right="-766"/>
        <w:spacing w:after="0" w:before="120"/>
      </w:pPr>
      <w:r>
        <w:rPr>
          <w:sz w:val="22"/>
          <w:szCs w:val="22"/>
        </w:rPr>
        <w:t xml:space="preserve">Please note that the Commission will </w:t>
      </w:r>
      <w:r>
        <w:rPr>
          <w:color w:val="FF0000"/>
          <w:sz w:val="22"/>
          <w:szCs w:val="22"/>
        </w:rPr>
        <w:t xml:space="preserve">exclusively reimburse your travel expenses and grant one daily allowance for each day of presence at the </w:t>
      </w:r>
      <w:r>
        <w:rPr>
          <w:color w:val="FF0000"/>
          <w:sz w:val="22"/>
          <w:i w:val="off"/>
          <w:szCs w:val="22"/>
          <w:iCs w:val="off"/>
        </w:rPr>
        <w:t>meeting</w:t>
      </w:r>
      <w:r>
        <w:rPr>
          <w:sz w:val="22"/>
          <w:szCs w:val="22"/>
        </w:rPr>
        <w:t xml:space="preserve"> strictly according to the attached conditions "Reimbursement of expert's expenses".</w:t>
      </w:r>
    </w:p>
    <w:p>
      <w:pPr>
        <w:pStyle w:val="style0"/>
        <w:jc w:val="both"/>
        <w:ind w:hanging="0" w:left="0" w:right="-766"/>
        <w:spacing w:after="0" w:before="120"/>
      </w:pPr>
      <w:r>
        <w:rPr>
          <w:sz w:val="22"/>
          <w:szCs w:val="22"/>
        </w:rPr>
        <w:t>Please be informed that, in order to speed up the process for your reimbursement:</w:t>
      </w:r>
    </w:p>
    <w:p>
      <w:pPr>
        <w:pStyle w:val="style0"/>
        <w:jc w:val="both"/>
        <w:ind w:hanging="0" w:left="0" w:right="-766"/>
      </w:pPr>
      <w:r>
        <w:rPr/>
      </w:r>
    </w:p>
    <w:p>
      <w:pPr>
        <w:pStyle w:val="style0"/>
        <w:jc w:val="center"/>
        <w:ind w:hanging="0" w:left="0" w:right="-766"/>
      </w:pPr>
      <w:r>
        <w:rPr>
          <w:sz w:val="22"/>
          <w:u w:val="single"/>
          <w:b/>
          <w:szCs w:val="22"/>
        </w:rPr>
        <w:t>BEFORE the meeting</w:t>
      </w:r>
    </w:p>
    <w:p>
      <w:pPr>
        <w:pStyle w:val="style0"/>
        <w:jc w:val="both"/>
        <w:ind w:hanging="0" w:left="0" w:right="-766"/>
        <w:spacing w:after="0" w:before="120"/>
      </w:pPr>
      <w:r>
        <w:rPr>
          <w:sz w:val="22"/>
          <w:szCs w:val="22"/>
        </w:rPr>
        <w:t xml:space="preserve">Your personal data have to be registered in the Commission's accounting system. Please be informed that all information concerning this registration is available in the document </w:t>
      </w:r>
      <w:r>
        <w:rPr>
          <w:sz w:val="22"/>
          <w:b/>
          <w:szCs w:val="22"/>
        </w:rPr>
        <w:t>"Privacy Statement for Legal Entity and Bank Account Validation"</w:t>
      </w:r>
      <w:r>
        <w:rPr>
          <w:sz w:val="22"/>
          <w:szCs w:val="22"/>
        </w:rPr>
        <w:t xml:space="preserve"> which is uploaded at the same links listed below.</w:t>
      </w:r>
    </w:p>
    <w:p>
      <w:pPr>
        <w:pStyle w:val="style0"/>
        <w:jc w:val="both"/>
        <w:ind w:hanging="0" w:left="0" w:right="-766"/>
        <w:spacing w:after="0" w:before="120"/>
      </w:pPr>
      <w:r>
        <w:rPr>
          <w:sz w:val="22"/>
          <w:szCs w:val="22"/>
        </w:rPr>
        <w:t xml:space="preserve">Hence a </w:t>
      </w:r>
      <w:r>
        <w:rPr>
          <w:sz w:val="22"/>
          <w:b/>
          <w:szCs w:val="22"/>
        </w:rPr>
        <w:t>"Financial Identification Form</w:t>
      </w:r>
      <w:r>
        <w:rPr>
          <w:sz w:val="22"/>
          <w:szCs w:val="22"/>
        </w:rPr>
        <w:t xml:space="preserve">" </w:t>
      </w:r>
      <w:r>
        <w:rPr>
          <w:sz w:val="22"/>
          <w:b/>
          <w:szCs w:val="22"/>
        </w:rPr>
        <w:t>(BA)</w:t>
      </w:r>
      <w:r>
        <w:rPr>
          <w:sz w:val="22"/>
          <w:szCs w:val="22"/>
        </w:rPr>
        <w:t xml:space="preserve"> and a "</w:t>
      </w:r>
      <w:r>
        <w:rPr>
          <w:sz w:val="22"/>
          <w:b/>
          <w:szCs w:val="22"/>
        </w:rPr>
        <w:t>Legal Entity Form</w:t>
      </w:r>
      <w:r>
        <w:rPr>
          <w:sz w:val="22"/>
          <w:szCs w:val="22"/>
        </w:rPr>
        <w:t xml:space="preserve">" </w:t>
      </w:r>
      <w:r>
        <w:rPr>
          <w:sz w:val="22"/>
          <w:b/>
          <w:szCs w:val="22"/>
        </w:rPr>
        <w:t>(LE)</w:t>
      </w:r>
      <w:r>
        <w:rPr>
          <w:sz w:val="22"/>
          <w:szCs w:val="22"/>
        </w:rPr>
        <w:t xml:space="preserve"> are available at the following links: </w:t>
      </w:r>
    </w:p>
    <w:p>
      <w:pPr>
        <w:pStyle w:val="style0"/>
        <w:jc w:val="both"/>
        <w:ind w:hanging="0" w:left="0" w:right="-766"/>
        <w:spacing w:after="0" w:before="120"/>
      </w:pPr>
      <w:r>
        <w:rPr>
          <w:sz w:val="22"/>
          <w:szCs w:val="22"/>
        </w:rPr>
        <w:t xml:space="preserve">- </w:t>
      </w:r>
      <w:hyperlink r:id="rId3">
        <w:r>
          <w:rPr>
            <w:sz w:val="22"/>
            <w:szCs w:val="22"/>
            <w:rStyle w:val="style17"/>
          </w:rPr>
          <w:t>http://ec.europa.eu/budget/contracts_grants/info_contracts/legal_entities/legal_entities_en.cfm</w:t>
        </w:r>
      </w:hyperlink>
    </w:p>
    <w:p>
      <w:pPr>
        <w:pStyle w:val="style0"/>
        <w:jc w:val="both"/>
        <w:ind w:hanging="0" w:left="0" w:right="-766"/>
      </w:pPr>
      <w:r>
        <w:rPr>
          <w:sz w:val="22"/>
          <w:szCs w:val="22"/>
        </w:rPr>
        <w:t>and</w:t>
      </w:r>
    </w:p>
    <w:p>
      <w:pPr>
        <w:pStyle w:val="style0"/>
        <w:jc w:val="both"/>
        <w:ind w:hanging="0" w:left="0" w:right="-766"/>
      </w:pPr>
      <w:r>
        <w:rPr>
          <w:sz w:val="22"/>
          <w:szCs w:val="22"/>
        </w:rPr>
        <w:t xml:space="preserve">- </w:t>
      </w:r>
      <w:hyperlink r:id="rId4">
        <w:r>
          <w:rPr>
            <w:sz w:val="22"/>
            <w:szCs w:val="22"/>
            <w:rStyle w:val="style17"/>
          </w:rPr>
          <w:t>http://ec.europa.eu/budget/contracts_grants/info_contracts/financial_id/financial_id_en.cfm</w:t>
        </w:r>
      </w:hyperlink>
    </w:p>
    <w:p>
      <w:pPr>
        <w:pStyle w:val="style0"/>
        <w:jc w:val="both"/>
        <w:ind w:hanging="0" w:left="0" w:right="-766"/>
        <w:spacing w:after="0" w:before="120"/>
      </w:pPr>
      <w:r>
        <w:rPr>
          <w:sz w:val="22"/>
          <w:szCs w:val="22"/>
        </w:rPr>
        <w:t xml:space="preserve">Please note that these forms </w:t>
      </w:r>
      <w:r>
        <w:rPr>
          <w:sz w:val="22"/>
          <w:b/>
          <w:szCs w:val="22"/>
        </w:rPr>
        <w:t>are available in a "Fill and Print" mode</w:t>
      </w:r>
      <w:r>
        <w:rPr>
          <w:sz w:val="22"/>
          <w:szCs w:val="22"/>
        </w:rPr>
        <w:t>. You</w:t>
      </w:r>
      <w:r>
        <w:rPr>
          <w:sz w:val="22"/>
          <w:b/>
          <w:szCs w:val="22"/>
        </w:rPr>
        <w:t xml:space="preserve"> </w:t>
      </w:r>
      <w:r>
        <w:rPr>
          <w:sz w:val="22"/>
          <w:szCs w:val="22"/>
        </w:rPr>
        <w:t xml:space="preserve">can fill them out on screen, print and sign them. The forms have to be completed with the requested documents as mentioned in the forms themselves. </w:t>
      </w:r>
    </w:p>
    <w:p>
      <w:pPr>
        <w:pStyle w:val="style0"/>
        <w:jc w:val="both"/>
        <w:ind w:hanging="0" w:left="0" w:right="-766"/>
      </w:pPr>
      <w:r>
        <w:rPr/>
      </w:r>
    </w:p>
    <w:p>
      <w:pPr>
        <w:pStyle w:val="style0"/>
        <w:jc w:val="center"/>
        <w:ind w:hanging="0" w:left="0" w:right="-766"/>
      </w:pPr>
      <w:r>
        <w:rPr>
          <w:sz w:val="22"/>
          <w:u w:val="single"/>
          <w:b/>
          <w:szCs w:val="22"/>
        </w:rPr>
        <w:t>AFTER the meeting</w:t>
      </w:r>
    </w:p>
    <w:p>
      <w:pPr>
        <w:pStyle w:val="style0"/>
        <w:numPr>
          <w:ilvl w:val="0"/>
          <w:numId w:val="1"/>
        </w:numPr>
        <w:jc w:val="both"/>
        <w:ind w:hanging="357" w:left="357" w:right="-766"/>
        <w:spacing w:after="0" w:before="120"/>
      </w:pPr>
      <w:r>
        <w:rPr>
          <w:sz w:val="22"/>
          <w:szCs w:val="22"/>
        </w:rPr>
        <w:t>Provide originals of the attached form for reimbursement of expert's expenses (excel file) duly filled and signed in Section II.</w:t>
      </w:r>
    </w:p>
    <w:p>
      <w:pPr>
        <w:pStyle w:val="style0"/>
        <w:numPr>
          <w:ilvl w:val="0"/>
          <w:numId w:val="1"/>
        </w:numPr>
        <w:jc w:val="both"/>
        <w:ind w:hanging="357" w:left="357" w:right="-766"/>
        <w:spacing w:after="0" w:before="120"/>
      </w:pPr>
      <w:r>
        <w:rPr>
          <w:sz w:val="22"/>
          <w:szCs w:val="22"/>
        </w:rPr>
        <w:t xml:space="preserve">Attach to the form for reimbursement the originals of every travel receipts or related evidence (boarding passes) as per attached rules.  </w:t>
      </w:r>
    </w:p>
    <w:p>
      <w:pPr>
        <w:pStyle w:val="style28"/>
        <w:numPr>
          <w:ilvl w:val="1"/>
          <w:numId w:val="1"/>
        </w:numPr>
        <w:jc w:val="both"/>
        <w:widowControl/>
        <w:tabs>
          <w:tab w:leader="none" w:pos="1134" w:val="left"/>
          <w:tab w:leader="none" w:pos="1276" w:val="left"/>
        </w:tabs>
        <w:ind w:hanging="425" w:left="425" w:right="-766"/>
        <w:spacing w:after="0" w:before="120"/>
      </w:pPr>
      <w:r>
        <w:rPr>
          <w:sz w:val="22"/>
          <w:szCs w:val="22"/>
          <w:lang w:val="en-GB"/>
        </w:rPr>
        <w:t xml:space="preserve">The above mentioned documents have to be sent after the meeting to the contact person of the Unit secretariat </w:t>
      </w:r>
      <w:r>
        <w:rPr>
          <w:sz w:val="22"/>
          <w:u w:val="single"/>
          <w:b/>
          <w:szCs w:val="22"/>
          <w:lang w:val="en-GB"/>
        </w:rPr>
        <w:t>no later than 30 calendar days after the final day of the meeting</w:t>
      </w:r>
      <w:r>
        <w:rPr>
          <w:sz w:val="22"/>
          <w:szCs w:val="22"/>
          <w:lang w:val="en-GB"/>
        </w:rPr>
        <w:t>,. Beyond this deadline, the Commission is absolved from any obligations to reimburse travel expenses or pay any allowances (see the attached conditions for reimbursement of expert's expenses).</w:t>
      </w:r>
    </w:p>
    <w:p>
      <w:pPr>
        <w:pStyle w:val="style28"/>
        <w:jc w:val="both"/>
        <w:widowControl/>
        <w:tabs>
          <w:tab w:leader="none" w:pos="1135" w:val="left"/>
          <w:tab w:leader="none" w:pos="1278" w:val="left"/>
        </w:tabs>
        <w:ind w:hanging="426" w:left="426" w:right="-766"/>
      </w:pPr>
      <w:r>
        <w:rPr/>
      </w:r>
    </w:p>
    <w:p>
      <w:pPr>
        <w:pStyle w:val="style0"/>
        <w:jc w:val="both"/>
        <w:ind w:hanging="0" w:left="0" w:right="-766"/>
      </w:pPr>
      <w:r>
        <w:rPr>
          <w:sz w:val="22"/>
          <w:szCs w:val="22"/>
        </w:rPr>
        <w:t>Yours sincerely,</w:t>
      </w:r>
    </w:p>
    <w:p>
      <w:pPr>
        <w:pStyle w:val="style0"/>
        <w:jc w:val="both"/>
        <w:ind w:hanging="0" w:left="0" w:right="-766"/>
      </w:pPr>
      <w:r>
        <w:rPr>
          <w:color w:val="FF0000"/>
          <w:sz w:val="22"/>
          <w:szCs w:val="22"/>
        </w:rPr>
        <w:t>………………</w:t>
      </w:r>
      <w:r>
        <w:rPr>
          <w:color w:val="FF0000"/>
          <w:sz w:val="22"/>
          <w:szCs w:val="22"/>
        </w:rPr>
        <w:t>.</w:t>
      </w:r>
    </w:p>
    <w:p>
      <w:pPr>
        <w:pStyle w:val="style0"/>
        <w:jc w:val="both"/>
        <w:ind w:hanging="0" w:left="0" w:right="-766"/>
      </w:pPr>
      <w:r>
        <w:rPr>
          <w:color w:val="FF0000"/>
          <w:sz w:val="22"/>
          <w:szCs w:val="22"/>
        </w:rPr>
        <w:t>Head of Unit</w:t>
      </w:r>
    </w:p>
    <w:p>
      <w:pPr>
        <w:pStyle w:val="style0"/>
        <w:jc w:val="both"/>
        <w:ind w:hanging="0" w:left="0" w:right="-766"/>
      </w:pPr>
      <w:r>
        <w:rPr/>
      </w:r>
    </w:p>
    <w:p>
      <w:pPr>
        <w:pStyle w:val="style0"/>
        <w:jc w:val="both"/>
        <w:tabs>
          <w:tab w:leader="none" w:pos="709" w:val="left"/>
          <w:tab w:leader="none" w:pos="1134" w:val="left"/>
        </w:tabs>
        <w:ind w:hanging="0" w:left="0" w:right="-766"/>
      </w:pPr>
      <w:r>
        <w:rPr>
          <w:sz w:val="22"/>
          <w:szCs w:val="22"/>
        </w:rPr>
        <w:t xml:space="preserve">Attached: </w:t>
        <w:tab/>
        <w:t>Draft agenda and other documentation</w:t>
      </w:r>
    </w:p>
    <w:p>
      <w:pPr>
        <w:pStyle w:val="style0"/>
        <w:jc w:val="both"/>
        <w:tabs>
          <w:tab w:leader="none" w:pos="709" w:val="left"/>
          <w:tab w:leader="none" w:pos="1134" w:val="left"/>
        </w:tabs>
        <w:ind w:hanging="0" w:left="0" w:right="-766"/>
      </w:pPr>
      <w:r>
        <w:rPr>
          <w:sz w:val="22"/>
          <w:szCs w:val="22"/>
        </w:rPr>
        <w:tab/>
        <w:t>Application for reimbursement form</w:t>
      </w:r>
    </w:p>
    <w:p>
      <w:pPr>
        <w:pStyle w:val="style0"/>
        <w:jc w:val="both"/>
        <w:tabs>
          <w:tab w:leader="none" w:pos="709" w:val="left"/>
          <w:tab w:leader="none" w:pos="1134" w:val="left"/>
        </w:tabs>
        <w:ind w:hanging="0" w:left="0" w:right="-766"/>
      </w:pPr>
      <w:r>
        <w:rPr>
          <w:sz w:val="22"/>
          <w:szCs w:val="22"/>
        </w:rPr>
        <w:tab/>
        <w:t>Conditions "Reimbursement of Expert’s Expenses"</w:t>
      </w:r>
    </w:p>
    <w:p>
      <w:pPr>
        <w:pStyle w:val="style0"/>
        <w:jc w:val="both"/>
        <w:tabs>
          <w:tab w:leader="none" w:pos="709" w:val="left"/>
          <w:tab w:leader="none" w:pos="1134" w:val="left"/>
        </w:tabs>
        <w:ind w:hanging="0" w:left="0" w:right="-766"/>
      </w:pPr>
      <w:r>
        <w:rPr>
          <w:sz w:val="22"/>
          <w:szCs w:val="22"/>
        </w:rPr>
        <w:tab/>
      </w:r>
    </w:p>
    <w:sectPr>
      <w:formProt w:val="off"/>
      <w:pgSz w:h="16838" w:w="11906"/>
      <w:textDirection w:val="lrTb"/>
      <w:pgNumType w:fmt="decimal"/>
      <w:type w:val="nextPage"/>
      <w:pgMar w:bottom="851" w:left="1800" w:right="1800" w:top="709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Jc w:val="left"/>
      <w:lvlText w:val=""/>
      <w:pPr>
        <w:ind w:hanging="360" w:left="36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"/>
      <w:pPr>
        <w:ind w:hanging="360" w:left="1080"/>
      </w:pPr>
      <w:rPr>
        <w:rFonts w:ascii="Wingdings" w:cs="Wingdings" w:hAnsi="Wingdings" w:hint="default"/>
      </w:rPr>
    </w:lvl>
    <w:lvl w:ilvl="2">
      <w:start w:val="1"/>
      <w:numFmt w:val="bullet"/>
      <w:lvlJc w:val="left"/>
      <w:lvlText w:val=""/>
      <w:pPr>
        <w:ind w:hanging="360" w:left="180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396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468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12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/>
      <w:tabs>
        <w:tab w:leader="none" w:pos="709" w:val="left"/>
      </w:tabs>
      <w:suppressAutoHyphens w:val="true"/>
    </w:pPr>
    <w:rPr>
      <w:color w:val="00000A"/>
      <w:sz w:val="20"/>
      <w:szCs w:val="20"/>
      <w:rFonts w:ascii="Times New Roman" w:cs="Times New Roman" w:eastAsia="Times New Roman" w:hAnsi="Times New Roman"/>
      <w:lang w:bidi="ar-SA" w:eastAsia="en-GB" w:val="en-GB"/>
    </w:rPr>
  </w:style>
  <w:style w:styleId="style15" w:type="character">
    <w:name w:val="Default Paragraph Font"/>
    <w:next w:val="style15"/>
    <w:rPr/>
  </w:style>
  <w:style w:styleId="style16" w:type="character">
    <w:name w:val="footnote reference"/>
    <w:basedOn w:val="style15"/>
    <w:next w:val="style16"/>
    <w:rPr/>
  </w:style>
  <w:style w:styleId="style17" w:type="character">
    <w:name w:val="Internet Link"/>
    <w:basedOn w:val="style15"/>
    <w:next w:val="style17"/>
    <w:rPr>
      <w:color w:val="0000FF"/>
      <w:u w:val="single"/>
      <w:lang w:bidi="en-US" w:eastAsia="en-US" w:val="en-US"/>
    </w:rPr>
  </w:style>
  <w:style w:styleId="style18" w:type="character">
    <w:name w:val="ListLabel 1"/>
    <w:next w:val="style18"/>
    <w:rPr/>
  </w:style>
  <w:style w:styleId="style19" w:type="character">
    <w:name w:val="ListLabel 2"/>
    <w:next w:val="style19"/>
    <w:rPr/>
  </w:style>
  <w:style w:styleId="style20" w:type="character">
    <w:name w:val="ListLabel 3"/>
    <w:next w:val="style20"/>
    <w:rPr>
      <w:rFonts w:cs="Symbol"/>
    </w:rPr>
  </w:style>
  <w:style w:styleId="style21" w:type="character">
    <w:name w:val="ListLabel 4"/>
    <w:next w:val="style21"/>
    <w:rPr>
      <w:rFonts w:cs="Wingdings"/>
    </w:rPr>
  </w:style>
  <w:style w:styleId="style22" w:type="character">
    <w:name w:val="ListLabel 5"/>
    <w:next w:val="style22"/>
    <w:rPr>
      <w:rFonts w:cs="Courier New"/>
    </w:rPr>
  </w:style>
  <w:style w:styleId="style23" w:type="paragraph">
    <w:name w:val="Heading"/>
    <w:basedOn w:val="style0"/>
    <w:next w:val="style24"/>
    <w:pPr>
      <w:keepNext/>
      <w:spacing w:after="120" w:before="240"/>
    </w:pPr>
    <w:rPr>
      <w:sz w:val="28"/>
      <w:szCs w:val="28"/>
      <w:rFonts w:ascii="Arial" w:cs="DejaVu Sans" w:eastAsia="DejaVu Sans" w:hAnsi="Arial"/>
    </w:rPr>
  </w:style>
  <w:style w:styleId="style24" w:type="paragraph">
    <w:name w:val="Text body"/>
    <w:basedOn w:val="style0"/>
    <w:next w:val="style24"/>
    <w:pPr/>
    <w:rPr>
      <w:sz w:val="24"/>
      <w:i/>
      <w:lang w:eastAsia="en-US" w:val="en-US"/>
    </w:rPr>
  </w:style>
  <w:style w:styleId="style25" w:type="paragraph">
    <w:name w:val="List"/>
    <w:basedOn w:val="style24"/>
    <w:next w:val="style25"/>
    <w:pPr/>
    <w:rPr/>
  </w:style>
  <w:style w:styleId="style26" w:type="paragraph">
    <w:name w:val="Caption"/>
    <w:basedOn w:val="style0"/>
    <w:next w:val="style26"/>
    <w:pPr>
      <w:suppressLineNumbers/>
      <w:spacing w:after="120" w:before="120"/>
    </w:pPr>
    <w:rPr>
      <w:sz w:val="24"/>
      <w:i/>
      <w:szCs w:val="24"/>
      <w:iCs/>
    </w:rPr>
  </w:style>
  <w:style w:styleId="style27" w:type="paragraph">
    <w:name w:val="Index"/>
    <w:basedOn w:val="style0"/>
    <w:next w:val="style27"/>
    <w:pPr>
      <w:suppressLineNumbers/>
    </w:pPr>
    <w:rPr/>
  </w:style>
  <w:style w:styleId="style28" w:type="paragraph">
    <w:name w:val="Address"/>
    <w:basedOn w:val="style0"/>
    <w:next w:val="style28"/>
    <w:pPr/>
    <w:rPr/>
  </w:style>
  <w:style w:styleId="style29" w:type="paragraph">
    <w:name w:val="footnote text"/>
    <w:basedOn w:val="style0"/>
    <w:next w:val="style29"/>
    <w:pPr/>
    <w:rPr/>
  </w:style>
  <w:style w:styleId="style30" w:type="paragraph">
    <w:name w:val="NoteHead"/>
    <w:basedOn w:val="style0"/>
    <w:next w:val="style30"/>
    <w:pPr/>
    <w:rPr/>
  </w:style>
  <w:style w:styleId="style31" w:type="paragraph">
    <w:name w:val="Z_Com"/>
    <w:basedOn w:val="style0"/>
    <w:next w:val="style31"/>
    <w:pPr/>
    <w:rPr/>
  </w:style>
  <w:style w:styleId="style32" w:type="paragraph">
    <w:name w:val="Z_DGName"/>
    <w:basedOn w:val="style0"/>
    <w:next w:val="style32"/>
    <w:pPr/>
    <w:rPr/>
  </w:style>
  <w:style w:styleId="style33" w:type="paragraph">
    <w:name w:val="Header"/>
    <w:basedOn w:val="style0"/>
    <w:next w:val="style33"/>
    <w:pPr>
      <w:tabs>
        <w:tab w:leader="none" w:pos="4153" w:val="center"/>
        <w:tab w:leader="none" w:pos="8306" w:val="right"/>
      </w:tabs>
      <w:suppressLineNumbers/>
    </w:pPr>
    <w:rPr>
      <w:lang w:eastAsia="en-US"/>
    </w:rPr>
  </w:style>
  <w:style w:styleId="style34" w:type="paragraph">
    <w:name w:val="Text body indent"/>
    <w:basedOn w:val="style0"/>
    <w:next w:val="style34"/>
    <w:pPr>
      <w:jc w:val="both"/>
      <w:ind w:hanging="0" w:left="283" w:right="0"/>
    </w:pPr>
    <w:rPr>
      <w:sz w:val="24"/>
      <w:lang w:eastAsia="en-US"/>
    </w:rPr>
  </w:style>
  <w:style w:styleId="style35" w:type="paragraph">
    <w:name w:val="Footer"/>
    <w:basedOn w:val="style0"/>
    <w:next w:val="style35"/>
    <w:pPr>
      <w:tabs>
        <w:tab w:leader="none" w:pos="4153" w:val="center"/>
        <w:tab w:leader="none" w:pos="8306" w:val="right"/>
      </w:tabs>
      <w:suppressLineNumbers/>
    </w:pPr>
    <w:rPr/>
  </w:style>
  <w:style w:styleId="style36" w:type="paragraph">
    <w:name w:val="Document Map"/>
    <w:basedOn w:val="style0"/>
    <w:next w:val="style36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ishreg.jrc.ec.europa.eu/projects" TargetMode="External"/><Relationship Id="rId3" Type="http://schemas.openxmlformats.org/officeDocument/2006/relationships/hyperlink" Target="http://ec.europa.eu/budget/contracts_grants/info_contracts/legal_entities/legal_entities_en.cfm" TargetMode="External"/><Relationship Id="rId4" Type="http://schemas.openxmlformats.org/officeDocument/2006/relationships/hyperlink" Target="http://ec.europa.eu/budget/contracts_grants/info_contracts/financial_id/financial_id_en.cfm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OpenOffice.org/3.2$Unix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2012-03-16T14:40:00.00Z</dcterms:created>
  <dc:creator>U. Cecchini</dc:creator>
  <cp:lastModifiedBy>martija</cp:lastModifiedBy>
  <cp:lastPrinted>2009-11-04T09:45:00.00Z</cp:lastPrinted>
  <dcterms:modified xsi:type="dcterms:W3CDTF">2012-03-16T14:40:00.00Z</dcterms:modified>
  <cp:revision>2</cp:revision>
  <dc:title> </dc:title>
</cp:coreProperties>
</file>