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8D49" w14:textId="0425B523" w:rsidR="00827267" w:rsidRDefault="00632A7B">
      <w:r>
        <w:t>Interactive Rubric Project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2A7B" w14:paraId="4473D657" w14:textId="77777777" w:rsidTr="00632A7B">
        <w:tc>
          <w:tcPr>
            <w:tcW w:w="4508" w:type="dxa"/>
            <w:vAlign w:val="center"/>
          </w:tcPr>
          <w:p w14:paraId="05444C61" w14:textId="2C056280" w:rsidR="00632A7B" w:rsidRDefault="00632A7B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A08245" wp14:editId="3B4881A2">
                  <wp:extent cx="2520000" cy="1846865"/>
                  <wp:effectExtent l="0" t="0" r="0" b="1270"/>
                  <wp:docPr id="1" name="Picture 1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832EB26" w14:textId="4AF61356" w:rsidR="00632A7B" w:rsidRDefault="00632A7B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50AD5F" wp14:editId="466A063D">
                  <wp:extent cx="2520000" cy="1846865"/>
                  <wp:effectExtent l="0" t="0" r="0" b="1270"/>
                  <wp:docPr id="2" name="Picture 2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A7B" w14:paraId="5FF7D1DF" w14:textId="77777777" w:rsidTr="00632A7B">
        <w:tc>
          <w:tcPr>
            <w:tcW w:w="4508" w:type="dxa"/>
          </w:tcPr>
          <w:p w14:paraId="2AF290AA" w14:textId="7FE0413A" w:rsidR="00632A7B" w:rsidRDefault="00632A7B">
            <w:r>
              <w:t>1. Initial view. Here, the GUI’s initial view is shown. At the top, there are line edits, where a student’s name and ID can be entered into. At the bottom, there is a text edit, where additional comments can be added; a line edit, where a final mark is displayed; and push buttons that generate feedback, export the feedback, and reset the GUI. In the middle is a scrollable area, where rubrics are added.</w:t>
            </w:r>
          </w:p>
        </w:tc>
        <w:tc>
          <w:tcPr>
            <w:tcW w:w="4508" w:type="dxa"/>
          </w:tcPr>
          <w:p w14:paraId="36A4810E" w14:textId="30DBFB5F" w:rsidR="00632A7B" w:rsidRDefault="00632A7B">
            <w:r>
              <w:t>2. Added rubric. To add a rubric, the “Add Rubric” button is clicked. A new rubric is added to the GUI’s scrollable area.</w:t>
            </w:r>
          </w:p>
        </w:tc>
      </w:tr>
      <w:tr w:rsidR="00632A7B" w14:paraId="228C9881" w14:textId="77777777" w:rsidTr="00632A7B">
        <w:tc>
          <w:tcPr>
            <w:tcW w:w="4508" w:type="dxa"/>
            <w:vAlign w:val="center"/>
          </w:tcPr>
          <w:p w14:paraId="413B4568" w14:textId="6D1BA305" w:rsidR="00632A7B" w:rsidRDefault="00632A7B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49F9B7" wp14:editId="56239107">
                  <wp:extent cx="2520000" cy="1846865"/>
                  <wp:effectExtent l="0" t="0" r="0" b="127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9E2881E" w14:textId="1455C984" w:rsidR="00632A7B" w:rsidRDefault="00632A7B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07EB5" wp14:editId="78B8FB73">
                  <wp:extent cx="2520000" cy="1846865"/>
                  <wp:effectExtent l="0" t="0" r="0" b="127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A7B" w14:paraId="46336A68" w14:textId="77777777" w:rsidTr="00632A7B">
        <w:tc>
          <w:tcPr>
            <w:tcW w:w="4508" w:type="dxa"/>
          </w:tcPr>
          <w:p w14:paraId="06C349C9" w14:textId="1A6BAA77" w:rsidR="00632A7B" w:rsidRDefault="00632A7B">
            <w:r>
              <w:t>3. Added row. A rubric is made up of rows. To add a row to a rubric,</w:t>
            </w:r>
            <w:r w:rsidR="009C3622">
              <w:t xml:space="preserve"> the “Add Row” button is clicked. A new row is added to the rubric. The row has a slider that can be used to assign a mark for the row.</w:t>
            </w:r>
          </w:p>
        </w:tc>
        <w:tc>
          <w:tcPr>
            <w:tcW w:w="4508" w:type="dxa"/>
          </w:tcPr>
          <w:p w14:paraId="0CF24AFC" w14:textId="1D2946ED" w:rsidR="00632A7B" w:rsidRDefault="00632A7B">
            <w:r>
              <w:t>4. Added column.</w:t>
            </w:r>
            <w:r w:rsidR="009C3622">
              <w:t xml:space="preserve"> A row is made up of columns. To add a column, the “Add Col” button is pressed. A new column is added to the row. Data can be entered into each column.</w:t>
            </w:r>
          </w:p>
        </w:tc>
      </w:tr>
      <w:tr w:rsidR="00632A7B" w14:paraId="77D557C2" w14:textId="77777777" w:rsidTr="00632A7B">
        <w:tc>
          <w:tcPr>
            <w:tcW w:w="4508" w:type="dxa"/>
            <w:vAlign w:val="center"/>
          </w:tcPr>
          <w:p w14:paraId="3D85EED9" w14:textId="10429F1B" w:rsidR="00632A7B" w:rsidRDefault="00632A7B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DE84AE" wp14:editId="5799D638">
                  <wp:extent cx="2520000" cy="1846865"/>
                  <wp:effectExtent l="0" t="0" r="0" b="1270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628D738" w14:textId="1DFD1D4B" w:rsidR="00632A7B" w:rsidRDefault="00632A7B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599500" wp14:editId="2FF8FBF7">
                  <wp:extent cx="2520000" cy="1219841"/>
                  <wp:effectExtent l="0" t="0" r="0" b="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21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A7B" w14:paraId="521A9D89" w14:textId="77777777" w:rsidTr="00632A7B">
        <w:tc>
          <w:tcPr>
            <w:tcW w:w="4508" w:type="dxa"/>
          </w:tcPr>
          <w:p w14:paraId="4E949434" w14:textId="546D40E8" w:rsidR="00632A7B" w:rsidRDefault="00632A7B">
            <w:r>
              <w:t>5. A rubric with one row and four columns.</w:t>
            </w:r>
            <w:r w:rsidR="009C3622">
              <w:t xml:space="preserve"> A rubric is made up of rows and columns. The GUI </w:t>
            </w:r>
            <w:r w:rsidR="009C3622">
              <w:lastRenderedPageBreak/>
              <w:t>can have multiple rubrics, each with multiple rows, each with multiple columns.</w:t>
            </w:r>
          </w:p>
        </w:tc>
        <w:tc>
          <w:tcPr>
            <w:tcW w:w="4508" w:type="dxa"/>
          </w:tcPr>
          <w:p w14:paraId="350669EE" w14:textId="27E107CD" w:rsidR="009C3622" w:rsidRDefault="00632A7B">
            <w:r>
              <w:lastRenderedPageBreak/>
              <w:t>6. Generated feedback.</w:t>
            </w:r>
            <w:r w:rsidR="009C3622">
              <w:t xml:space="preserve"> Automatic feedback can be generated. To generate, the “Generate” button is clicked. This parses the GUI’s line </w:t>
            </w:r>
            <w:r w:rsidR="009C3622">
              <w:lastRenderedPageBreak/>
              <w:t>edits, rubrics, and text edits and generates a report using the student’s name, their final mark, and rubric marks.</w:t>
            </w:r>
          </w:p>
        </w:tc>
      </w:tr>
      <w:tr w:rsidR="00632A7B" w14:paraId="3F5432B1" w14:textId="77777777" w:rsidTr="00632A7B">
        <w:tc>
          <w:tcPr>
            <w:tcW w:w="4508" w:type="dxa"/>
            <w:vAlign w:val="center"/>
          </w:tcPr>
          <w:p w14:paraId="274FBB77" w14:textId="549645E8" w:rsidR="00632A7B" w:rsidRDefault="00632A7B" w:rsidP="00632A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04C7C6" wp14:editId="66710738">
                  <wp:extent cx="2520000" cy="1419978"/>
                  <wp:effectExtent l="0" t="0" r="0" b="8890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1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8D7869E" w14:textId="55E1F179" w:rsidR="00632A7B" w:rsidRDefault="009C3622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F98187" wp14:editId="43654439">
                  <wp:extent cx="2520000" cy="1416505"/>
                  <wp:effectExtent l="0" t="0" r="0" b="0"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eedback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1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A7B" w14:paraId="6450E766" w14:textId="77777777" w:rsidTr="00632A7B">
        <w:tc>
          <w:tcPr>
            <w:tcW w:w="4508" w:type="dxa"/>
          </w:tcPr>
          <w:p w14:paraId="298E46E6" w14:textId="143B27EE" w:rsidR="00632A7B" w:rsidRDefault="00632A7B">
            <w:r>
              <w:t xml:space="preserve">7. Exported </w:t>
            </w:r>
            <w:r w:rsidR="009C3622">
              <w:t>feedback</w:t>
            </w:r>
            <w:r>
              <w:t>.</w:t>
            </w:r>
            <w:r w:rsidR="009C3622">
              <w:t xml:space="preserve">  Generated feedback can be exported. To export feedback, the “Export” button is clicked. This prompts the user for a directory to save the feedback in and a file name.</w:t>
            </w:r>
          </w:p>
        </w:tc>
        <w:tc>
          <w:tcPr>
            <w:tcW w:w="4508" w:type="dxa"/>
          </w:tcPr>
          <w:p w14:paraId="5242B61A" w14:textId="501E33E1" w:rsidR="00632A7B" w:rsidRDefault="009C3622">
            <w:r>
              <w:t xml:space="preserve">8. Feedback saved as a text file. Here, the previously exported feedback is displayed as a text file. This can be copied and shared with the student via an online portal, </w:t>
            </w:r>
            <w:r w:rsidR="00BE6C1C">
              <w:t>e.g.,</w:t>
            </w:r>
            <w:r>
              <w:t xml:space="preserve"> Moodle.</w:t>
            </w:r>
          </w:p>
        </w:tc>
      </w:tr>
      <w:tr w:rsidR="00632A7B" w14:paraId="3D4895D4" w14:textId="77777777" w:rsidTr="00632A7B">
        <w:tc>
          <w:tcPr>
            <w:tcW w:w="4508" w:type="dxa"/>
            <w:vAlign w:val="center"/>
          </w:tcPr>
          <w:p w14:paraId="050BE167" w14:textId="53428E16" w:rsidR="00632A7B" w:rsidRDefault="009C3622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51D65B" wp14:editId="4D993E45">
                  <wp:extent cx="2520000" cy="1846865"/>
                  <wp:effectExtent l="0" t="0" r="0" b="1270"/>
                  <wp:docPr id="8" name="Picture 8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3D2E930" w14:textId="08DC1BDB" w:rsidR="00632A7B" w:rsidRDefault="009C3622" w:rsidP="00632A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2548F1" wp14:editId="546C4215">
                  <wp:extent cx="2520000" cy="1364977"/>
                  <wp:effectExtent l="0" t="0" r="0" b="6985"/>
                  <wp:docPr id="9" name="Picture 9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6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22" w14:paraId="7D5DE8A1" w14:textId="77777777" w:rsidTr="00632A7B">
        <w:tc>
          <w:tcPr>
            <w:tcW w:w="4508" w:type="dxa"/>
          </w:tcPr>
          <w:p w14:paraId="649A8D69" w14:textId="13BAEAEA" w:rsidR="009C3622" w:rsidRDefault="009C3622" w:rsidP="009C3622">
            <w:r>
              <w:t>9. A rubric wit</w:t>
            </w:r>
            <w:r w:rsidR="00C80D66">
              <w:t>h</w:t>
            </w:r>
            <w:r>
              <w:t xml:space="preserve"> one row and four columns.</w:t>
            </w:r>
            <w:r w:rsidR="00612AA2">
              <w:t xml:space="preserve"> To reset the rubrics, the “Reset” button is clicked. This clears the line edits and text edits and resets each rubric’s rows’ sliders to 50%.</w:t>
            </w:r>
          </w:p>
        </w:tc>
        <w:tc>
          <w:tcPr>
            <w:tcW w:w="4508" w:type="dxa"/>
          </w:tcPr>
          <w:p w14:paraId="182FD07C" w14:textId="7C1B62EB" w:rsidR="009C3622" w:rsidRDefault="009C3622" w:rsidP="009C3622">
            <w:r>
              <w:t>10. Rubric saved as JSON formatted data.</w:t>
            </w:r>
            <w:r w:rsidR="00612AA2">
              <w:t xml:space="preserve"> The rubric can be exported. To export the rubric, the “File&gt;Save” menu is clicked. This prompts the user for a directory to save the rubric in and a file name. The rubric is saved as JSON formatted data.</w:t>
            </w:r>
          </w:p>
        </w:tc>
      </w:tr>
      <w:tr w:rsidR="009C3622" w14:paraId="0FA91A2A" w14:textId="77777777" w:rsidTr="009C3622">
        <w:tc>
          <w:tcPr>
            <w:tcW w:w="4508" w:type="dxa"/>
            <w:vAlign w:val="center"/>
          </w:tcPr>
          <w:p w14:paraId="6882C5FB" w14:textId="07BE16D8" w:rsidR="009C3622" w:rsidRDefault="009C3622" w:rsidP="009C36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7F144B" wp14:editId="003A4117">
                  <wp:extent cx="2520000" cy="1846865"/>
                  <wp:effectExtent l="0" t="0" r="0" b="1270"/>
                  <wp:docPr id="10" name="Picture 10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BF20B51" w14:textId="7B926A21" w:rsidR="009C3622" w:rsidRDefault="009C3622" w:rsidP="009C36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FE6A9A" wp14:editId="4D4C5E1A">
                  <wp:extent cx="2520000" cy="1846865"/>
                  <wp:effectExtent l="0" t="0" r="0" b="1270"/>
                  <wp:docPr id="11" name="Picture 1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622" w14:paraId="14EB665E" w14:textId="77777777" w:rsidTr="00632A7B">
        <w:tc>
          <w:tcPr>
            <w:tcW w:w="4508" w:type="dxa"/>
          </w:tcPr>
          <w:p w14:paraId="46191D9D" w14:textId="3E6F78D6" w:rsidR="009C3622" w:rsidRDefault="009C3622" w:rsidP="009C3622">
            <w:r>
              <w:t>11. A new rubric.</w:t>
            </w:r>
            <w:r w:rsidR="00612AA2">
              <w:t xml:space="preserve"> To create a new rubric, the “File&gt;New” menu is clicked. This resets the GUI, removing all existing rubrics.</w:t>
            </w:r>
          </w:p>
        </w:tc>
        <w:tc>
          <w:tcPr>
            <w:tcW w:w="4508" w:type="dxa"/>
          </w:tcPr>
          <w:p w14:paraId="4C91EAD9" w14:textId="10BB63A7" w:rsidR="009C3622" w:rsidRDefault="009C3622" w:rsidP="009C3622">
            <w:r>
              <w:t>12. A rubric with one row and four columns.</w:t>
            </w:r>
            <w:r w:rsidR="00612AA2">
              <w:t xml:space="preserve"> To load a rubric, the “File&gt;Open” menu is clicked. This loads a previously exported rubric, populating the GUI with rubrics.</w:t>
            </w:r>
          </w:p>
        </w:tc>
      </w:tr>
    </w:tbl>
    <w:p w14:paraId="15BC09E3" w14:textId="77777777" w:rsidR="00632A7B" w:rsidRDefault="00632A7B"/>
    <w:sectPr w:rsidR="00632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7B"/>
    <w:rsid w:val="00256C44"/>
    <w:rsid w:val="004D120C"/>
    <w:rsid w:val="00612AA2"/>
    <w:rsid w:val="00632A7B"/>
    <w:rsid w:val="009B59CB"/>
    <w:rsid w:val="009C3622"/>
    <w:rsid w:val="00BE6C1C"/>
    <w:rsid w:val="00C80D66"/>
    <w:rsid w:val="00CC00F7"/>
    <w:rsid w:val="00D1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B3B6"/>
  <w15:chartTrackingRefBased/>
  <w15:docId w15:val="{7E81CF7D-502D-4B67-94E3-801C6D00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74E3956F9064081E9E5F0C64FFDD3" ma:contentTypeVersion="13" ma:contentTypeDescription="Create a new document." ma:contentTypeScope="" ma:versionID="68cd615c4407b77a39061120909d6221">
  <xsd:schema xmlns:xsd="http://www.w3.org/2001/XMLSchema" xmlns:xs="http://www.w3.org/2001/XMLSchema" xmlns:p="http://schemas.microsoft.com/office/2006/metadata/properties" xmlns:ns3="94badc63-669b-4c65-a65c-d9ff3296b493" xmlns:ns4="ca5d1f5f-a44a-4fc4-bf83-d5a60266b0e3" targetNamespace="http://schemas.microsoft.com/office/2006/metadata/properties" ma:root="true" ma:fieldsID="246e30b32817e32f835d9540c3332ff2" ns3:_="" ns4:_="">
    <xsd:import namespace="94badc63-669b-4c65-a65c-d9ff3296b493"/>
    <xsd:import namespace="ca5d1f5f-a44a-4fc4-bf83-d5a60266b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adc63-669b-4c65-a65c-d9ff3296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d1f5f-a44a-4fc4-bf83-d5a60266b0e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D311F4-5CB9-44AC-A689-5D977F3237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11836C-51F6-4F6F-B2C1-250844547D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6F72C-2992-4FA1-8F43-F01ACE190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adc63-669b-4c65-a65c-d9ff3296b493"/>
    <ds:schemaRef ds:uri="ca5d1f5f-a44a-4fc4-bf83-d5a60266b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8E9C85-534C-4BC5-8D52-5992EE21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Noble, Frazer</dc:creator>
  <cp:keywords/>
  <dc:description/>
  <cp:lastModifiedBy>Frazer Noble</cp:lastModifiedBy>
  <cp:revision>4</cp:revision>
  <dcterms:created xsi:type="dcterms:W3CDTF">2020-09-29T01:01:00Z</dcterms:created>
  <dcterms:modified xsi:type="dcterms:W3CDTF">2023-06-07T02:23:00Z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0x01010047F74E3956F9064081E9E5F0C64FFDD3</vt:lpwstr>
  </property>
  <property fmtid="{D5CDD505-2E9C-101B-9397-08002B2CF9AE}" pid="3" name="MSIP_Label_bd9e4d68-54d0-40a5-8c9a-85a36c87352c_Enabled">
    <vt:lpwstr>true</vt:lpwstr>
  </property>
  <property fmtid="{D5CDD505-2E9C-101B-9397-08002B2CF9AE}" pid="4" name="MSIP_Label_bd9e4d68-54d0-40a5-8c9a-85a36c87352c_SetDate">
    <vt:lpwstr>2023-06-07T02:23:35Z</vt:lpwstr>
  </property>
  <property fmtid="{D5CDD505-2E9C-101B-9397-08002B2CF9AE}" pid="5" name="MSIP_Label_bd9e4d68-54d0-40a5-8c9a-85a36c87352c_Method">
    <vt:lpwstr>Standard</vt:lpwstr>
  </property>
  <property fmtid="{D5CDD505-2E9C-101B-9397-08002B2CF9AE}" pid="6" name="MSIP_Label_bd9e4d68-54d0-40a5-8c9a-85a36c87352c_Name">
    <vt:lpwstr>Unclassified</vt:lpwstr>
  </property>
  <property fmtid="{D5CDD505-2E9C-101B-9397-08002B2CF9AE}" pid="7" name="MSIP_Label_bd9e4d68-54d0-40a5-8c9a-85a36c87352c_SiteId">
    <vt:lpwstr>388728e1-bbd0-4378-98dc-f8682e644300</vt:lpwstr>
  </property>
  <property fmtid="{D5CDD505-2E9C-101B-9397-08002B2CF9AE}" pid="8" name="MSIP_Label_bd9e4d68-54d0-40a5-8c9a-85a36c87352c_ActionId">
    <vt:lpwstr>1b6f3dd0-6095-44da-a007-8f4a79e7ed7c</vt:lpwstr>
  </property>
  <property fmtid="{D5CDD505-2E9C-101B-9397-08002B2CF9AE}" pid="9" name="MSIP_Label_bd9e4d68-54d0-40a5-8c9a-85a36c87352c_ContentBits">
    <vt:lpwstr>0</vt:lpwstr>
  </property>
</Properties>
</file>