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60"/>
        <w:jc w:val="start"/>
        <w:rPr>
          <w:rFonts w:ascii="Roboto Mono" w:hAnsi="Roboto Mono" w:eastAsia="Roboto Mono" w:cs="Roboto Mono"/>
          <w:b w:val="false"/>
          <w:bCs w:val="false"/>
          <w:color w:val="003366"/>
          <w:sz w:val="18"/>
          <w:szCs w:val="18"/>
        </w:rPr>
      </w:pPr>
      <w:r>
        <w:rPr>
          <w:rFonts w:eastAsia="Roboto Mono" w:cs="Roboto Mono" w:ascii="Roboto Mono" w:hAnsi="Roboto Mono"/>
          <w:b w:val="false"/>
          <w:bCs w:val="false"/>
          <w:color w:val="003366"/>
          <w:sz w:val="18"/>
          <w:szCs w:val="18"/>
        </w:rPr>
        <w:t>VERSIÓN TÉCNICA</w:t>
      </w:r>
    </w:p>
    <w:p>
      <w:pPr>
        <w:pStyle w:val="Normal"/>
        <w:bidi w:val="0"/>
        <w:spacing w:before="0" w:after="60"/>
        <w:jc w:val="start"/>
        <w:rPr/>
      </w:pPr>
      <w:r>
        <w:rPr/>
      </w:r>
    </w:p>
    <w:p>
      <w:pPr>
        <w:pStyle w:val="Normal"/>
        <w:bidi w:val="0"/>
        <w:spacing w:before="800" w:after="200"/>
        <w:jc w:val="center"/>
        <w:rPr>
          <w:rFonts w:ascii="Montserrat" w:hAnsi="Montserrat" w:eastAsia="Montserrat" w:cs="Montserrat"/>
          <w:b/>
          <w:bCs/>
          <w:color w:val="003366"/>
          <w:sz w:val="72"/>
          <w:szCs w:val="72"/>
        </w:rPr>
      </w:pPr>
      <w:r>
        <w:rPr>
          <w:rFonts w:eastAsia="Montserrat" w:cs="Montserrat" w:ascii="Montserrat" w:hAnsi="Montserrat"/>
          <w:b/>
          <w:bCs/>
          <w:color w:val="003366"/>
          <w:sz w:val="72"/>
          <w:szCs w:val="72"/>
        </w:rPr>
        <w:t>NotificAR Clara</w:t>
      </w:r>
    </w:p>
    <w:p>
      <w:pPr>
        <w:pStyle w:val="Normal"/>
        <w:bidi w:val="0"/>
        <w:spacing w:before="0" w:after="400"/>
        <w:jc w:val="center"/>
        <w:rPr>
          <w:rFonts w:ascii="Montserrat" w:hAnsi="Montserrat" w:eastAsia="Montserrat" w:cs="Montserrat"/>
          <w:b w:val="false"/>
          <w:bCs w:val="false"/>
          <w:color w:val="003366"/>
          <w:sz w:val="28"/>
          <w:szCs w:val="28"/>
        </w:rPr>
      </w:pPr>
      <w:r>
        <w:rPr>
          <w:rFonts w:eastAsia="Montserrat" w:cs="Montserrat" w:ascii="Montserrat" w:hAnsi="Montserrat"/>
          <w:b w:val="false"/>
          <w:bCs w:val="false"/>
          <w:color w:val="003366"/>
          <w:sz w:val="28"/>
          <w:szCs w:val="28"/>
        </w:rPr>
        <w:t>Sistema de Traducción Automática de Notificaciones Judiciales a Lenguaje Claro mediante Inteligencia Artificial y Asistente Virtual de Video</w:t>
      </w:r>
    </w:p>
    <w:p>
      <w:pPr>
        <w:pStyle w:val="Normal"/>
        <w:pBdr>
          <w:bottom w:val="single" w:sz="6" w:space="0" w:color="00C2C2"/>
        </w:pBdr>
        <w:bidi w:val="0"/>
        <w:spacing w:before="100" w:after="100"/>
        <w:jc w:val="start"/>
        <w:rPr/>
      </w:pPr>
      <w:r>
        <w:rPr/>
      </w:r>
    </w:p>
    <w:p>
      <w:pPr>
        <w:pStyle w:val="Normal"/>
        <w:bidi w:val="0"/>
        <w:spacing w:before="0" w:after="60"/>
        <w:jc w:val="start"/>
        <w:rPr/>
      </w:pPr>
      <w:r>
        <w:rPr/>
      </w:r>
    </w:p>
    <w:p>
      <w:pPr>
        <w:pStyle w:val="Normal"/>
        <w:bidi w:val="0"/>
        <w:jc w:val="center"/>
        <w:rPr>
          <w:rFonts w:ascii="Open Sans" w:hAnsi="Open Sans" w:eastAsia="Open Sans" w:cs="Open Sans"/>
          <w:b/>
          <w:bCs/>
          <w:color w:val="003366"/>
          <w:sz w:val="24"/>
          <w:szCs w:val="24"/>
        </w:rPr>
      </w:pPr>
      <w:r>
        <w:rPr>
          <w:rFonts w:eastAsia="Open Sans" w:cs="Open Sans" w:ascii="Open Sans" w:hAnsi="Open Sans"/>
          <w:b/>
          <w:bCs/>
          <w:color w:val="003366"/>
          <w:sz w:val="24"/>
          <w:szCs w:val="24"/>
        </w:rPr>
        <w:t>Enzo Fontana</w:t>
      </w:r>
    </w:p>
    <w:p>
      <w:pPr>
        <w:pStyle w:val="Normal"/>
        <w:bidi w:val="0"/>
        <w:jc w:val="center"/>
        <w:rPr>
          <w:rFonts w:ascii="Open Sans" w:hAnsi="Open Sans" w:eastAsia="Open Sans" w:cs="Open Sans"/>
          <w:color w:val="666666"/>
          <w:sz w:val="22"/>
          <w:szCs w:val="22"/>
        </w:rPr>
      </w:pPr>
      <w:r>
        <w:rPr>
          <w:rFonts w:eastAsia="Open Sans" w:cs="Open Sans" w:ascii="Open Sans" w:hAnsi="Open Sans"/>
          <w:color w:val="666666"/>
          <w:sz w:val="22"/>
          <w:szCs w:val="22"/>
        </w:rPr>
        <w:t>Sec. Defensoría Oficial – Necochea, Provincia de Buenos Aires</w:t>
      </w:r>
    </w:p>
    <w:p>
      <w:pPr>
        <w:pStyle w:val="Normal"/>
        <w:bidi w:val="0"/>
        <w:jc w:val="center"/>
        <w:rPr>
          <w:rFonts w:ascii="Open Sans" w:hAnsi="Open Sans" w:eastAsia="Open Sans" w:cs="Open Sans"/>
          <w:color w:val="666666"/>
          <w:sz w:val="22"/>
          <w:szCs w:val="22"/>
        </w:rPr>
      </w:pPr>
      <w:r>
        <w:rPr>
          <w:rFonts w:eastAsia="Open Sans" w:cs="Open Sans" w:ascii="Open Sans" w:hAnsi="Open Sans"/>
          <w:color w:val="666666"/>
          <w:sz w:val="22"/>
          <w:szCs w:val="22"/>
        </w:rPr>
        <w:t>dr.fontana@gmail.com</w:t>
      </w:r>
    </w:p>
    <w:p>
      <w:pPr>
        <w:pStyle w:val="Normal"/>
        <w:bidi w:val="0"/>
        <w:spacing w:before="0" w:after="60"/>
        <w:jc w:val="start"/>
        <w:rPr/>
      </w:pPr>
      <w:r>
        <w:rPr/>
      </w:r>
    </w:p>
    <w:p>
      <w:pPr>
        <w:pStyle w:val="Normal"/>
        <w:bidi w:val="0"/>
        <w:jc w:val="center"/>
        <w:rPr>
          <w:rFonts w:ascii="Open Sans" w:hAnsi="Open Sans" w:eastAsia="Open Sans" w:cs="Open Sans"/>
          <w:b/>
          <w:bCs/>
          <w:color w:val="003366"/>
          <w:sz w:val="24"/>
          <w:szCs w:val="24"/>
        </w:rPr>
      </w:pPr>
      <w:r>
        <w:rPr>
          <w:rFonts w:eastAsia="Open Sans" w:cs="Open Sans" w:ascii="Open Sans" w:hAnsi="Open Sans"/>
          <w:b/>
          <w:bCs/>
          <w:color w:val="003366"/>
          <w:sz w:val="24"/>
          <w:szCs w:val="24"/>
        </w:rPr>
        <w:t>Laura Bulesevich</w:t>
      </w:r>
    </w:p>
    <w:p>
      <w:pPr>
        <w:pStyle w:val="Normal"/>
        <w:bidi w:val="0"/>
        <w:jc w:val="center"/>
        <w:rPr>
          <w:rFonts w:ascii="Open Sans" w:hAnsi="Open Sans" w:eastAsia="Open Sans" w:cs="Open Sans"/>
          <w:color w:val="666666"/>
          <w:sz w:val="22"/>
          <w:szCs w:val="22"/>
        </w:rPr>
      </w:pPr>
      <w:r>
        <w:rPr>
          <w:rFonts w:eastAsia="Open Sans" w:cs="Open Sans" w:ascii="Open Sans" w:hAnsi="Open Sans"/>
          <w:color w:val="666666"/>
          <w:sz w:val="22"/>
          <w:szCs w:val="22"/>
        </w:rPr>
        <w:t>Jueza de Cámara – Necochea, Provincia de Buenos Aires</w:t>
      </w:r>
    </w:p>
    <w:p>
      <w:pPr>
        <w:pStyle w:val="Normal"/>
        <w:bidi w:val="0"/>
        <w:jc w:val="center"/>
        <w:rPr>
          <w:rFonts w:ascii="Open Sans" w:hAnsi="Open Sans" w:eastAsia="Open Sans" w:cs="Open Sans"/>
          <w:color w:val="666666"/>
          <w:sz w:val="22"/>
          <w:szCs w:val="22"/>
        </w:rPr>
      </w:pPr>
      <w:r>
        <w:rPr>
          <w:rFonts w:eastAsia="Open Sans" w:cs="Open Sans" w:ascii="Open Sans" w:hAnsi="Open Sans"/>
          <w:color w:val="666666"/>
          <w:sz w:val="22"/>
          <w:szCs w:val="22"/>
        </w:rPr>
        <w:t>bulesevichlaura@gmail.com</w:t>
      </w:r>
    </w:p>
    <w:p>
      <w:pPr>
        <w:pStyle w:val="Normal"/>
        <w:bidi w:val="0"/>
        <w:spacing w:before="0" w:after="60"/>
        <w:jc w:val="start"/>
        <w:rPr/>
      </w:pPr>
      <w:r>
        <w:rPr/>
      </w:r>
    </w:p>
    <w:p>
      <w:pPr>
        <w:pStyle w:val="Normal"/>
        <w:pBdr>
          <w:bottom w:val="single" w:sz="6" w:space="0" w:color="00C2C2"/>
        </w:pBdr>
        <w:bidi w:val="0"/>
        <w:spacing w:before="100" w:after="100"/>
        <w:jc w:val="start"/>
        <w:rPr/>
      </w:pPr>
      <w:r>
        <w:rPr/>
      </w:r>
    </w:p>
    <w:p>
      <w:pPr>
        <w:pStyle w:val="Normal"/>
        <w:bidi w:val="0"/>
        <w:spacing w:before="160" w:after="80"/>
        <w:jc w:val="center"/>
        <w:rPr>
          <w:rFonts w:ascii="Open Sans" w:hAnsi="Open Sans" w:eastAsia="Open Sans" w:cs="Open Sans"/>
          <w:i/>
          <w:iCs/>
          <w:color w:val="666666"/>
          <w:sz w:val="22"/>
          <w:szCs w:val="22"/>
        </w:rPr>
      </w:pPr>
      <w:r>
        <w:rPr>
          <w:rFonts w:eastAsia="Open Sans" w:cs="Open Sans" w:ascii="Open Sans" w:hAnsi="Open Sans"/>
          <w:i/>
          <w:iCs/>
          <w:color w:val="666666"/>
          <w:sz w:val="22"/>
          <w:szCs w:val="22"/>
        </w:rPr>
        <w:t>III Convención de la Red Panhispánica de Lenguaje Claro y Accesible</w:t>
      </w:r>
    </w:p>
    <w:p>
      <w:pPr>
        <w:pStyle w:val="Normal"/>
        <w:bidi w:val="0"/>
        <w:spacing w:before="0" w:after="800"/>
        <w:jc w:val="center"/>
        <w:rPr>
          <w:rFonts w:ascii="Roboto Mono" w:hAnsi="Roboto Mono" w:eastAsia="Roboto Mono" w:cs="Roboto Mono"/>
          <w:color w:val="00C2C2"/>
          <w:sz w:val="20"/>
          <w:szCs w:val="20"/>
        </w:rPr>
      </w:pPr>
      <w:r>
        <w:rPr>
          <w:rFonts w:eastAsia="Roboto Mono" w:cs="Roboto Mono" w:ascii="Roboto Mono" w:hAnsi="Roboto Mono"/>
          <w:color w:val="00C2C2"/>
          <w:sz w:val="20"/>
          <w:szCs w:val="20"/>
        </w:rPr>
        <w:t>Red Marea D+I — Derecho e innovación en red</w:t>
      </w:r>
    </w:p>
    <w:p>
      <w:pPr>
        <w:pStyle w:val="Normal"/>
        <w:bidi w:val="0"/>
        <w:jc w:val="start"/>
        <w:rPr/>
      </w:pPr>
      <w:r>
        <w:rPr/>
      </w:r>
      <w:r>
        <w:br w:type="page"/>
      </w:r>
    </w:p>
    <w:p>
      <w:pPr>
        <w:pStyle w:val="Normal"/>
        <w:pBdr>
          <w:bottom w:val="single" w:sz="12" w:space="0" w:color="00C2C2"/>
        </w:pBdr>
        <w:bidi w:val="0"/>
        <w:spacing w:before="0" w:after="200"/>
        <w:jc w:val="start"/>
        <w:rPr>
          <w:rFonts w:ascii="Montserrat" w:hAnsi="Montserrat" w:eastAsia="Montserrat" w:cs="Montserrat"/>
          <w:b/>
          <w:bCs/>
          <w:color w:val="003366"/>
          <w:sz w:val="52"/>
          <w:szCs w:val="52"/>
        </w:rPr>
      </w:pPr>
      <w:r>
        <w:rPr>
          <w:rFonts w:eastAsia="Montserrat" w:cs="Montserrat" w:ascii="Montserrat" w:hAnsi="Montserrat"/>
          <w:b/>
          <w:bCs/>
          <w:color w:val="003366"/>
          <w:sz w:val="52"/>
          <w:szCs w:val="52"/>
        </w:rPr>
        <w:t>Resumen</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El presente trabajo propone el diseño e implementación de NotificAR Clara, un sistema tecnológico de acceso a la justicia que incorpora, en las notificaciones y citaciones judiciales libradas por los órganos del Poder Judicial y del Ministerio Público de la Provincia de Buenos Aires, un código QR vinculado a un asistente virtual de video con inteligencia artificial. Al escanear dicho código, las personas legas reciben la explicación de la notificación en lenguaje claro, pueden formular preguntas sobre su contenido y acceden a vías de contacto humano con el órgano emisor o con su representación letrada.</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La propuesta responde a la brecha persistente entre el lenguaje técnico-jurídico utilizado en los actos procesales de notificación y la capacidad de comprensión de las personas destinatarias, brecha que redunda en la vulneración práctica del derecho de defensa, del debido proceso y del acceso efectivo a la justicia. El sistema aprovecha la infraestructura de notificación digital ya existente en el Poder Judicial bonaerense —que incluye firma digital y código QR de autenticación— para añadir una capa de mediación comunicacional sin modificar los documentos originales ni los sistemas actuales.</w:t>
      </w:r>
    </w:p>
    <w:p>
      <w:pPr>
        <w:pStyle w:val="Normal"/>
        <w:bidi w:val="0"/>
        <w:spacing w:lineRule="auto" w:line="300" w:before="0" w:after="120"/>
        <w:jc w:val="both"/>
        <w:rPr/>
      </w:pPr>
      <w:r>
        <w:rPr>
          <w:rFonts w:eastAsia="Open Sans" w:cs="Open Sans" w:ascii="Open Sans" w:hAnsi="Open Sans"/>
          <w:sz w:val="22"/>
          <w:szCs w:val="22"/>
        </w:rPr>
        <w:t>E</w:t>
      </w:r>
      <w:r>
        <w:rPr>
          <w:rFonts w:eastAsia="Open Sans" w:cs="Open Sans" w:ascii="Open Sans" w:hAnsi="Open Sans"/>
          <w:sz w:val="22"/>
          <w:szCs w:val="22"/>
        </w:rPr>
        <w:t xml:space="preserve">l sistema implementa </w:t>
      </w:r>
      <w:r>
        <w:rPr>
          <w:rFonts w:eastAsia="Open Sans" w:cs="Open Sans" w:ascii="Open Sans" w:hAnsi="Open Sans"/>
          <w:sz w:val="22"/>
          <w:szCs w:val="22"/>
        </w:rPr>
        <w:t xml:space="preserve">tambien </w:t>
      </w:r>
      <w:r>
        <w:rPr>
          <w:rFonts w:eastAsia="Open Sans" w:cs="Open Sans" w:ascii="Open Sans" w:hAnsi="Open Sans"/>
          <w:sz w:val="22"/>
          <w:szCs w:val="22"/>
        </w:rPr>
        <w:t>ajustes razonables de procedimiento para personas con discapacidad y adultos mayores (según la terminología de la CDPD y las Reglas de Brasilia), un subsistema de orientación geográfica hacia el órgano judicial, recordatorio del derecho a concurrir acompañado, identificación de referente de atención personalizada, y un canal de comunicación para solicitar el ajuste razonable más adecuado en cada caso.</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Se presentan la arquitectura técnica del sistema, la tipología de actos procesales contemplados, las consideraciones de accesibilidad, el análisis de viabilidad económica y el horizonte de implementación. El desarrollo prioriza herramientas de código abierto y servicios en la nube de bajo costo.</w:t>
      </w:r>
    </w:p>
    <w:p>
      <w:pPr>
        <w:pStyle w:val="Normal"/>
        <w:bidi w:val="0"/>
        <w:spacing w:before="0" w:after="60"/>
        <w:jc w:val="start"/>
        <w:rPr/>
      </w:pPr>
      <w:r>
        <w:rPr/>
      </w:r>
    </w:p>
    <w:p>
      <w:pPr>
        <w:pStyle w:val="Normal"/>
        <w:bidi w:val="0"/>
        <w:spacing w:lineRule="auto" w:line="300" w:before="0" w:after="120"/>
        <w:jc w:val="both"/>
        <w:rPr>
          <w:rFonts w:ascii="Open Sans" w:hAnsi="Open Sans" w:eastAsia="Open Sans" w:cs="Open Sans"/>
          <w:i/>
          <w:iCs/>
          <w:color w:val="666666"/>
          <w:sz w:val="22"/>
          <w:szCs w:val="22"/>
        </w:rPr>
      </w:pPr>
      <w:r>
        <w:rPr/>
      </w:r>
      <w:r>
        <w:br w:type="page"/>
      </w:r>
    </w:p>
    <w:p>
      <w:pPr>
        <w:pStyle w:val="Normal"/>
        <w:pBdr>
          <w:bottom w:val="single" w:sz="12" w:space="0" w:color="00C2C2"/>
        </w:pBdr>
        <w:bidi w:val="0"/>
        <w:spacing w:before="0" w:after="200"/>
        <w:jc w:val="start"/>
        <w:rPr>
          <w:rFonts w:ascii="Montserrat" w:hAnsi="Montserrat" w:eastAsia="Montserrat" w:cs="Montserrat"/>
          <w:b/>
          <w:bCs/>
          <w:color w:val="003366"/>
          <w:sz w:val="52"/>
          <w:szCs w:val="52"/>
        </w:rPr>
      </w:pPr>
      <w:r>
        <w:rPr>
          <w:rFonts w:eastAsia="Montserrat" w:cs="Montserrat" w:ascii="Montserrat" w:hAnsi="Montserrat"/>
          <w:b/>
          <w:bCs/>
          <w:color w:val="003366"/>
          <w:sz w:val="52"/>
          <w:szCs w:val="52"/>
        </w:rPr>
        <w:t>1.  Introducción: el problema de la incomprensión de las notificaciones judiciales</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Ser notificado de un acto judicial es, en teoría, el punto de partida del ejercicio de los derechos procesales. Recibir una cédula, una notificación electrónica o una citación es la condición sine qua non para comparecer, defenderse, recurrir o cumplir una resolución. Sin embargo, en la práctica cotidiana de los tribunales bonaerenses, un número significativo de personas legas que reciben estas notificaciones no comprenden su contenido, sus consecuencias ni las acciones que deben tomar.</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Las razones son múltiples. El lenguaje jurídico es denso, técnico y formulaico: abunda en latinismos, referencias normativas cruzadas, plazos expresados en términos procesales no equivalentes al lenguaje cotidiano, y sobreentendidos institucionales inaccesibles para quien no tiene formación legal. Una persona que recibe una "cédula de notificación de la providencia que ordena su comparendo en los términos del art. 308 del CPPBA" difícilmente comprende que se le está citando a declarar como imputado, que tiene derecho a hacerse acompañar de un abogado defensor de su confianza, que puede negarse a declarar sin que ello implique consecuencia alguna, y que su incomparecencia puede acarrear su detención compulsiva.</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Las consecuencias de esta incomprensión son graves desde la perspectiva del acceso a la justicia: inasistencias a audiencias, rebeldías declaradas, plazos procesales vencidos sin actividad de la parte, incumplimientos de resoluciones por desconocimiento de su contenido, y en los casos más extremos, privaciones de libertad motivadas en la sola incomprensión de una cédula. El miedo, el desinterés aparente o la pasividad que muchas veces se observa en las partes no son falta de interés en sus propios derechos: son, frecuentemente, expresión de una barrera comunicacional que el sistema no ha sabido resolver.</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El movimiento global de "lenguaje claro" (plain language) lleva décadas señalando que la simplificación del lenguaje institucional no implica pérdida de precisión jurídica, sino una redistribución del esfuerzo comunicacional: que sea el Estado quien se acerque al ciudadano y no al revés. El presente trabajo propone dar un paso concreto en esa dirección mediante una herramienta tecnológica que añade una capa de mediación comunicacional accesible a través del teléfono celular de cualquier persona.</w:t>
      </w:r>
    </w:p>
    <w:p>
      <w:pPr>
        <w:pStyle w:val="Normal"/>
        <w:bidi w:val="0"/>
        <w:jc w:val="start"/>
        <w:rPr/>
      </w:pPr>
      <w:r>
        <w:rPr/>
      </w:r>
      <w:r>
        <w:br w:type="page"/>
      </w:r>
    </w:p>
    <w:p>
      <w:pPr>
        <w:pStyle w:val="Normal"/>
        <w:pBdr>
          <w:bottom w:val="single" w:sz="12" w:space="0" w:color="00C2C2"/>
        </w:pBdr>
        <w:bidi w:val="0"/>
        <w:spacing w:before="0" w:after="200"/>
        <w:jc w:val="start"/>
        <w:rPr>
          <w:rFonts w:ascii="Montserrat" w:hAnsi="Montserrat" w:eastAsia="Montserrat" w:cs="Montserrat"/>
          <w:b/>
          <w:bCs/>
          <w:color w:val="003366"/>
          <w:sz w:val="52"/>
          <w:szCs w:val="52"/>
        </w:rPr>
      </w:pPr>
      <w:r>
        <w:rPr>
          <w:rFonts w:eastAsia="Montserrat" w:cs="Montserrat" w:ascii="Montserrat" w:hAnsi="Montserrat"/>
          <w:b/>
          <w:bCs/>
          <w:color w:val="003366"/>
          <w:sz w:val="52"/>
          <w:szCs w:val="52"/>
        </w:rPr>
        <w:t>2.  Marco normativo: acceso a la justicia, lenguaje claro y derecho de defensa</w:t>
      </w:r>
    </w:p>
    <w:p>
      <w:pPr>
        <w:pStyle w:val="Normal"/>
        <w:bidi w:val="0"/>
        <w:spacing w:before="360" w:after="120"/>
        <w:jc w:val="start"/>
        <w:rPr>
          <w:rFonts w:ascii="Montserrat" w:hAnsi="Montserrat" w:eastAsia="Montserrat" w:cs="Montserrat"/>
          <w:b/>
          <w:bCs/>
          <w:color w:val="003366"/>
          <w:sz w:val="40"/>
          <w:szCs w:val="40"/>
        </w:rPr>
      </w:pPr>
      <w:r>
        <w:rPr>
          <w:rFonts w:eastAsia="Montserrat" w:cs="Montserrat" w:ascii="Montserrat" w:hAnsi="Montserrat"/>
          <w:b/>
          <w:bCs/>
          <w:color w:val="003366"/>
          <w:sz w:val="40"/>
          <w:szCs w:val="40"/>
        </w:rPr>
        <w:t>2.1. El acceso a la justicia como derecho fundamental</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El acceso a la justicia es un derecho reconocido en los instrumentos internacionales de derechos humanos con jerarquía constitucional en la Argentina. La Convención Americana sobre Derechos Humanos (art. 8) garantiza el derecho de toda persona a ser oída, con las debidas garantías, por un juez o tribunal competente. El Pacto Internacional de Derechos Civiles y Políticos (art. 14) consagra el derecho a un juicio justo. La Constitución Nacional Argentina, en su art. 18, establece que nadie puede ser penado sin juicio previo fundado en ley anterior al hecho del proceso.</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Estas garantías son meramente formales si la persona no comprende qué se le está comunicando, qué derechos tiene y qué consecuencias se derivan de cada acto procesal. La comprensión efectiva de las notificaciones es, por tanto, un presupuesto del ejercicio real del derecho de defensa y del debido proceso.</w:t>
      </w:r>
    </w:p>
    <w:p>
      <w:pPr>
        <w:pStyle w:val="Normal"/>
        <w:bidi w:val="0"/>
        <w:spacing w:before="360" w:after="120"/>
        <w:jc w:val="start"/>
        <w:rPr>
          <w:rFonts w:ascii="Montserrat" w:hAnsi="Montserrat" w:eastAsia="Montserrat" w:cs="Montserrat"/>
          <w:b/>
          <w:bCs/>
          <w:color w:val="003366"/>
          <w:sz w:val="40"/>
          <w:szCs w:val="40"/>
        </w:rPr>
      </w:pPr>
      <w:r>
        <w:rPr>
          <w:rFonts w:eastAsia="Montserrat" w:cs="Montserrat" w:ascii="Montserrat" w:hAnsi="Montserrat"/>
          <w:b/>
          <w:bCs/>
          <w:color w:val="003366"/>
          <w:sz w:val="40"/>
          <w:szCs w:val="40"/>
        </w:rPr>
        <w:t>2.2. El principio de lenguaje claro</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El movimiento de lenguaje claro (plain language) postula que los documentos oficiales deben ser redactados de manera que el destinatario pueda entender su contenido la primera vez que lo lee. En la Provincia de Buenos Aires, este camino se ha consolidado a través de la Guía de Buenas Prácticas para el Empleo de un Lenguaje Claro y Accesible (Res. SC 1131/26), que insta a los magistrados y funcionarios a abandonar el uso de latinismos innecesarios y estructuras sintácticas complejas que oscurecen la comprensión.</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La adopción del lenguaje claro en el ámbito judicial no es una elección estética, sino una exigencia ética y democrática. Las conclusiones de las sucesivas convenciones de la Red Panhispánica de Lenguaje Claro y Accesible enfatizan que la claridad es un presupuesto indispensable para el cumplimiento del debido proceso. No se puede ejercer una defensa efectiva si el acto de comunicación falla en su objetivo primario: que el destinatario comprenda no solo el "qué" (la decisión), sino el "cómo" y el "porqué" (los fundamentos y vías recursivas).</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La Guía (Res. SC 1131/26) identifica ocho principios para un mensaje comprensible: claridad, accesibilidad y adecuación, consistencia y coherencia, integridad, relevancia y concisión, respeto y no discriminación, eficiencia expresiva con retroalimentación, y —de especial relevancia para NotificAR Clara— multicanalidad. Este último principio reconoce que la comunicación ocurre por distintas vías (verbal, no verbal, paraverbal) y canales (escrito, oral, presencial, digital), por lo que la persona emisora debe elegir los medios y modos correctos para cada situación.</w:t>
      </w:r>
    </w:p>
    <w:p>
      <w:pPr>
        <w:pStyle w:val="Normal"/>
        <w:bidi w:val="0"/>
        <w:spacing w:before="360" w:after="120"/>
        <w:jc w:val="start"/>
        <w:rPr/>
      </w:pPr>
      <w:r>
        <w:rPr>
          <w:rFonts w:eastAsia="Montserrat" w:cs="Montserrat" w:ascii="Montserrat" w:hAnsi="Montserrat"/>
          <w:b/>
          <w:bCs/>
          <w:color w:val="003366"/>
          <w:sz w:val="40"/>
          <w:szCs w:val="40"/>
        </w:rPr>
        <w:t>2.3. Accesibilidad y Convención sobre los Derechos de las Personas con Discapacidad</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La Convención sobre los Derechos de las Personas con Discapacidad (CDPD), con rango constitucional en la Argentina mediante la Ley 27.044, obliga al Estado a garantizar el acceso a la información y a la justicia en condiciones de igualdad. El modelo social de la discapacidad que adopta la Convención —reflejado asimismo en la Guía de Buenas Prácticas para el Acceso a la Justicia de las Personas con Discapacidad de la SCBA— entiende que la discapacidad no se define exclusivamente por la presencia de una deficiencia física, mental, intelectual o sensorial, sino por la interacción entre esas deficiencias y las barreras que socialmente existen para que las personas puedan participar y ejercer sus derechos de manera efectiva. Así lo ha sostenido la Corte Interamericana de Derechos Humanos en los casos "Guachalá Chimbó vs. Ecuador" y "Chinchilla Sandoval vs. Guatemala".</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Las Reglas de Brasilia sobre el Acceso a la Justicia de las Personas en Condición de Vulnerabilidad (versión 2018) establecen que "toda persona en condición de vulnerabilidad tiene el derecho a entender y ser entendida" (Regla 58), que en las notificaciones y requerimientos "se deben usar términos y estructuras gramaticales simples y comprensibles, que respondan a las necesidades particulares de las personas en condición de vulnerabilidad" (Regla 59), y que "se deben fomentar los mecanismos necesarios para que la persona en condición de vulnerabilidad comprenda los juicios, vistas, comparecencias y otras actuaciones judiciales orales en las que participe" (Regla 61). Estas reglas son de aplicación directa en el ámbito de la Provincia de Buenos Aires, que las ha adoptado como estándar de actuación de su sistema de justicia.</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NotificAR Clara traduce estas obligaciones convencionales y reglamentarias en soluciones concretas. El sistema contempla, desde su diseño inicial: la activación automática del modo de alto contraste y tipografía ampliada para personas con discapacidad visual y adultos mayores; subtítulos sincronizados en el video de presentación para personas con discapacidad auditiva; un módulo de "ajuste razonable" que permite al operador judicial identificar el tipo de discapacidad y generar una explicación adaptada mediante inteligencia artificial; la identificación visible de un referente de atención personalizada en el organismo judicial ("Al llegar, pregunte por [nombre]"); el recordatorio del derecho a concurrir acompañado de una persona de apoyo; y un canal de comunicación directa con el órgano emisor para solicitar, de manera sencilla, el ajuste de procedimiento que la persona considere más adecuado para sus necesidades. La Guía de Buenas Prácticas (Res. SCBA) denomina a estas herramientas "medidas afirmativas y ajustes de procedimiento", y las considera parte del deber de los operadores judiciales de remover activamente las barreras que obstaculizan el ejercicio igualitario de derechos.</w:t>
      </w:r>
    </w:p>
    <w:p>
      <w:pPr>
        <w:pStyle w:val="Normal"/>
        <w:bidi w:val="0"/>
        <w:spacing w:before="360" w:after="120"/>
        <w:jc w:val="start"/>
        <w:rPr>
          <w:rFonts w:ascii="Montserrat" w:hAnsi="Montserrat" w:eastAsia="Montserrat" w:cs="Montserrat"/>
          <w:b/>
          <w:bCs/>
          <w:color w:val="003366"/>
          <w:sz w:val="40"/>
          <w:szCs w:val="40"/>
        </w:rPr>
      </w:pPr>
      <w:r>
        <w:rPr>
          <w:rFonts w:eastAsia="Montserrat" w:cs="Montserrat" w:ascii="Montserrat" w:hAnsi="Montserrat"/>
          <w:b/>
          <w:bCs/>
          <w:color w:val="003366"/>
          <w:sz w:val="40"/>
          <w:szCs w:val="40"/>
        </w:rPr>
        <w:t>2.4. Situación de vulnerabilidad específica: Niños, Niñas y Adolescentes (NNA)</w:t>
      </w:r>
    </w:p>
    <w:p>
      <w:pPr>
        <w:pStyle w:val="Normal"/>
        <w:bidi w:val="0"/>
        <w:spacing w:lineRule="auto" w:line="300" w:before="0" w:after="120"/>
        <w:jc w:val="both"/>
        <w:rPr/>
      </w:pPr>
      <w:r>
        <w:rPr>
          <w:rFonts w:eastAsia="Open Sans" w:cs="Open Sans" w:ascii="Open Sans" w:hAnsi="Open Sans"/>
          <w:sz w:val="22"/>
          <w:szCs w:val="22"/>
        </w:rPr>
        <w:t>El acceso a la justicia de Niños, Niñas y Adolescentes (NNA) requiere un abordaje diferenciado en virtud de su condición de sujetos de especial protección. La Convención sobre los Derechos del Niño (CDN), en su artículo 12, consagra el derecho del niño a expresar su opinión libremente y a ser escuchado en todo procedimiento judicial que lo afecte, lo cual es inejecutable si la comunicación no es adaptada a su etapa evolutiva.</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La Guía para Escuchar a Niños, Niñas y Adolescentes en el Proceso Judicial (SCBA) enfatiza que la forma de citación debe adaptarse a las características individuales de cada NNA (edad, madurez, posibles discapacidades), que el lenguaje debe ser claro e incluir la posibilidad de contar con patrocinio letrado, y que el ambiente comunicacional debe reducir la ansiedad y el miedo que el entorno judicial genera. NotificAR Clara contempla tipos de destinatario diferenciados por franja etaria (NNA 0-6, NNA 7-12, NNA 13-17), generando explicaciones adaptadas a cada etapa, en consonancia con la Ley 26.061 de Protección Integral de los Derechos de las Niñas, Niños y Adolescentes.</w:t>
      </w:r>
    </w:p>
    <w:p>
      <w:pPr>
        <w:pStyle w:val="Normal"/>
        <w:bidi w:val="0"/>
        <w:spacing w:before="360" w:after="120"/>
        <w:jc w:val="start"/>
        <w:rPr>
          <w:rFonts w:ascii="Montserrat" w:hAnsi="Montserrat" w:eastAsia="Montserrat" w:cs="Montserrat"/>
          <w:b/>
          <w:bCs/>
          <w:color w:val="003366"/>
          <w:sz w:val="40"/>
          <w:szCs w:val="40"/>
        </w:rPr>
      </w:pPr>
      <w:r>
        <w:rPr>
          <w:rFonts w:eastAsia="Montserrat" w:cs="Montserrat" w:ascii="Montserrat" w:hAnsi="Montserrat"/>
          <w:b/>
          <w:bCs/>
          <w:color w:val="003366"/>
          <w:sz w:val="40"/>
          <w:szCs w:val="40"/>
        </w:rPr>
        <w:t>2.5. Situación de vulnerabilidad específica: Personas Mayores</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En el caso de las personas mayores, el acceso a la justicia se ve frecuentemente obstaculizado por barreras comunicacionales que el sistema judicial suele ignorar. La Convención Interamericana sobre la Protección de los Derechos Humanos de las Personas Mayores, ratificada por Argentina, establece en sus artículos 30 y 31 el derecho y las garantías que deben contemplar los Estados a fin que el acceso a justicia sea efectivo y en condición de igualdad que para el resto de los ciudadanos.</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El envejecimiento en sí mismo no implica una pérdida de capacidad, pero sí impone al Estado la obligación de remover los obstáculos que impidan el ejercicio de la autonomía. Un sistema que comunica una resolución judicial a través de un código QR, facilitando una lectura clara o una explicación oral directa, es una herramienta clave para evitar el aislamiento y la desprotección que sufren muchas personas mayores ante notificaciones que les resultan crípticas. Al utilizar estas tecnologías, el Poder Judicial bonaerense reafirma su compromiso con la vejez digna, asegurando que la edad no sea una excusa para la desinformación ni la indefensión.</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NotificAR Clara incluye a los adultos mayores como categoría específica de destinatario, activando automáticamente las funciones de accesibilidad reforzada (alto contraste, tipografía ampliada) y el recordatorio del derecho a concurrir acompañado, en consonancia con la Guía de Buenas Prácticas para el Acceso a la Justicia de las Personas Mayores de la SCBA.</w:t>
      </w:r>
    </w:p>
    <w:p>
      <w:pPr>
        <w:pStyle w:val="Normal"/>
        <w:bidi w:val="0"/>
        <w:jc w:val="start"/>
        <w:rPr/>
      </w:pPr>
      <w:r>
        <w:rPr/>
      </w:r>
      <w:r>
        <w:br w:type="page"/>
      </w:r>
    </w:p>
    <w:p>
      <w:pPr>
        <w:pStyle w:val="Normal"/>
        <w:pBdr>
          <w:bottom w:val="single" w:sz="12" w:space="0" w:color="00C2C2"/>
        </w:pBdr>
        <w:bidi w:val="0"/>
        <w:spacing w:before="0" w:after="200"/>
        <w:jc w:val="start"/>
        <w:rPr>
          <w:rFonts w:ascii="Montserrat" w:hAnsi="Montserrat" w:eastAsia="Montserrat" w:cs="Montserrat"/>
          <w:b/>
          <w:bCs/>
          <w:color w:val="003366"/>
          <w:sz w:val="52"/>
          <w:szCs w:val="52"/>
        </w:rPr>
      </w:pPr>
      <w:r>
        <w:rPr>
          <w:rFonts w:eastAsia="Montserrat" w:cs="Montserrat" w:ascii="Montserrat" w:hAnsi="Montserrat"/>
          <w:b/>
          <w:bCs/>
          <w:color w:val="003366"/>
          <w:sz w:val="52"/>
          <w:szCs w:val="52"/>
        </w:rPr>
        <w:t>3.  Contexto tecnológico: infraestructura existente y conectividad</w:t>
      </w:r>
    </w:p>
    <w:p>
      <w:pPr>
        <w:pStyle w:val="Normal"/>
        <w:bidi w:val="0"/>
        <w:spacing w:before="360" w:after="120"/>
        <w:jc w:val="start"/>
        <w:rPr>
          <w:rFonts w:ascii="Montserrat" w:hAnsi="Montserrat" w:eastAsia="Montserrat" w:cs="Montserrat"/>
          <w:b/>
          <w:bCs/>
          <w:color w:val="003366"/>
          <w:sz w:val="40"/>
          <w:szCs w:val="40"/>
        </w:rPr>
      </w:pPr>
      <w:r>
        <w:rPr>
          <w:rFonts w:eastAsia="Montserrat" w:cs="Montserrat" w:ascii="Montserrat" w:hAnsi="Montserrat"/>
          <w:b/>
          <w:bCs/>
          <w:color w:val="003366"/>
          <w:sz w:val="40"/>
          <w:szCs w:val="40"/>
        </w:rPr>
        <w:t>3.1. La notificación digital en el Ministerio Público bonaerense</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El Ministerio Público de la Provincia de Buenos Aires ha implementado un sistema de notificación digital que incorpora firma digital y, para cada acto procesal notificado, un código QR de autenticación que permite verificar la integridad y autoría del documento. Esta infraestructura preexistente es el punto de partida de NotificAR Clara: el sistema propuesto no reemplaza ni modifica el QR de autenticación existente, sino que añade un segundo código QR —el "QR explicador"— que puede ser incorporado al documento en el momento de su emisión por el operador del órgano judicial competente.</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Esta arquitectura de intervención mínima presenta ventajas significativas: no requiere modificar los sistemas informáticos judiciales existentes, puede ser adoptada progresivamente órgano por órgano, y no altera la validez jurídica de los documentos originales.</w:t>
      </w:r>
    </w:p>
    <w:p>
      <w:pPr>
        <w:pStyle w:val="Normal"/>
        <w:bidi w:val="0"/>
        <w:spacing w:before="360" w:after="120"/>
        <w:jc w:val="start"/>
        <w:rPr>
          <w:rFonts w:ascii="Montserrat" w:hAnsi="Montserrat" w:eastAsia="Montserrat" w:cs="Montserrat"/>
          <w:b/>
          <w:bCs/>
          <w:color w:val="003366"/>
          <w:sz w:val="40"/>
          <w:szCs w:val="40"/>
        </w:rPr>
      </w:pPr>
      <w:r>
        <w:rPr>
          <w:rFonts w:eastAsia="Montserrat" w:cs="Montserrat" w:ascii="Montserrat" w:hAnsi="Montserrat"/>
          <w:b/>
          <w:bCs/>
          <w:color w:val="003366"/>
          <w:sz w:val="40"/>
          <w:szCs w:val="40"/>
        </w:rPr>
        <w:t>3.2. Conectividad en la Provincia de Buenos Aires</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Según datos del Ente Nacional de Comunicaciones (ENACOM) correspondientes al segundo trimestre de 2025, el 82% de los hogares argentinos cuenta con acceso a internet fija, siendo la Provincia de Buenos Aires la que encabeza el ranking de penetración. Al añadir los accesos por internet móvil, la cobertura efectiva de la población bonaerense es sustancialmente mayor, lo que hace tecnológicamente viable que la mayoría de las personas que reciben una notificación judicial puedan acceder al sistema mediante el teléfono celular sin necesidad de instalar ninguna aplicación adicional: basta con la cámara del dispositivo y un navegador web.</w:t>
      </w:r>
    </w:p>
    <w:p>
      <w:pPr>
        <w:pStyle w:val="Normal"/>
        <w:bidi w:val="0"/>
        <w:jc w:val="start"/>
        <w:rPr/>
      </w:pPr>
      <w:r>
        <w:rPr/>
      </w:r>
      <w:r>
        <w:br w:type="page"/>
      </w:r>
    </w:p>
    <w:p>
      <w:pPr>
        <w:pStyle w:val="Normal"/>
        <w:pBdr>
          <w:bottom w:val="single" w:sz="12" w:space="0" w:color="00C2C2"/>
        </w:pBdr>
        <w:bidi w:val="0"/>
        <w:spacing w:before="0" w:after="200"/>
        <w:jc w:val="start"/>
        <w:rPr>
          <w:rFonts w:ascii="Montserrat" w:hAnsi="Montserrat" w:eastAsia="Montserrat" w:cs="Montserrat"/>
          <w:b/>
          <w:bCs/>
          <w:color w:val="003366"/>
          <w:sz w:val="52"/>
          <w:szCs w:val="52"/>
        </w:rPr>
      </w:pPr>
      <w:r>
        <w:rPr>
          <w:rFonts w:eastAsia="Montserrat" w:cs="Montserrat" w:ascii="Montserrat" w:hAnsi="Montserrat"/>
          <w:b/>
          <w:bCs/>
          <w:color w:val="003366"/>
          <w:sz w:val="52"/>
          <w:szCs w:val="52"/>
        </w:rPr>
        <w:t>4.  Solución propuesta: NotificAR Clara</w:t>
      </w:r>
    </w:p>
    <w:p>
      <w:pPr>
        <w:pStyle w:val="Normal"/>
        <w:bidi w:val="0"/>
        <w:spacing w:before="360" w:after="120"/>
        <w:jc w:val="start"/>
        <w:rPr>
          <w:rFonts w:ascii="Montserrat" w:hAnsi="Montserrat" w:eastAsia="Montserrat" w:cs="Montserrat"/>
          <w:b/>
          <w:bCs/>
          <w:color w:val="003366"/>
          <w:sz w:val="40"/>
          <w:szCs w:val="40"/>
        </w:rPr>
      </w:pPr>
      <w:r>
        <w:rPr>
          <w:rFonts w:eastAsia="Montserrat" w:cs="Montserrat" w:ascii="Montserrat" w:hAnsi="Montserrat"/>
          <w:b/>
          <w:bCs/>
          <w:color w:val="003366"/>
          <w:sz w:val="40"/>
          <w:szCs w:val="40"/>
        </w:rPr>
        <w:t>4.1. Descripción general</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NotificAR Clara es un sistema de mediación comunicacional que opera en tres capas: (1) procesamiento del texto de la notificación judicial mediante inteligencia artificial para su traducción al lenguaje claro; (2) presentación de esa traducción a través de una asistente virtual de video —Clara— que explica el acto procesal con voz y subtítulos; y (3) acceso a vías de contacto humano (WhatsApp con el órgano emisor o con el abogado/a designado/a) para consultas y seguimiento.</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El operador judicial —funcionario, empleado o notificador del órgano— ingresa el texto de la notificación en un panel web, selecciona el tipo de acto procesal y el perfil del destinatario (imputado, víctima, testigo, NNA, adulto mayor, u otros), y el sistema genera automáticamente: una explicación en lenguaje claro adaptada al perfil, un video introductorio con subtítulos sincronizados, y un código QR que puede imprimirse o enviarse junto con la notificación original.</w:t>
      </w:r>
    </w:p>
    <w:p>
      <w:pPr>
        <w:pStyle w:val="Normal"/>
        <w:bidi w:val="0"/>
        <w:spacing w:before="360" w:after="120"/>
        <w:jc w:val="start"/>
        <w:rPr>
          <w:rFonts w:ascii="Montserrat" w:hAnsi="Montserrat" w:eastAsia="Montserrat" w:cs="Montserrat"/>
          <w:b/>
          <w:bCs/>
          <w:color w:val="003366"/>
          <w:sz w:val="40"/>
          <w:szCs w:val="40"/>
        </w:rPr>
      </w:pPr>
      <w:r>
        <w:rPr>
          <w:rFonts w:eastAsia="Montserrat" w:cs="Montserrat" w:ascii="Montserrat" w:hAnsi="Montserrat"/>
          <w:b/>
          <w:bCs/>
          <w:color w:val="003366"/>
          <w:sz w:val="40"/>
          <w:szCs w:val="40"/>
        </w:rPr>
        <w:t>4.2. Arquitectura técnica</w:t>
      </w:r>
    </w:p>
    <w:p>
      <w:pPr>
        <w:pStyle w:val="Normal"/>
        <w:bidi w:val="0"/>
        <w:spacing w:lineRule="auto" w:line="300" w:before="0" w:after="120"/>
        <w:jc w:val="both"/>
        <w:rPr/>
      </w:pPr>
      <w:r>
        <w:rPr>
          <w:rFonts w:eastAsia="Open Sans" w:cs="Open Sans" w:ascii="Open Sans" w:hAnsi="Open Sans"/>
          <w:sz w:val="22"/>
          <w:szCs w:val="22"/>
        </w:rPr>
        <w:t xml:space="preserve">El sistema </w:t>
      </w:r>
      <w:r>
        <w:rPr>
          <w:rFonts w:eastAsia="Open Sans" w:cs="Open Sans" w:ascii="Open Sans" w:hAnsi="Open Sans"/>
          <w:sz w:val="22"/>
          <w:szCs w:val="22"/>
        </w:rPr>
        <w:t xml:space="preserve">piloto </w:t>
      </w:r>
      <w:r>
        <w:rPr>
          <w:rFonts w:eastAsia="Open Sans" w:cs="Open Sans" w:ascii="Open Sans" w:hAnsi="Open Sans"/>
          <w:sz w:val="22"/>
          <w:szCs w:val="22"/>
        </w:rPr>
        <w:t>está construido sobre Next.js 14 (App Router) con las siguientes capas de infraestructura:</w:t>
      </w:r>
    </w:p>
    <w:p>
      <w:pPr>
        <w:pStyle w:val="ListParagraph"/>
        <w:numPr>
          <w:ilvl w:val="0"/>
          <w:numId w:val="3"/>
        </w:numPr>
        <w:bidi w:val="0"/>
        <w:spacing w:before="0" w:after="60"/>
        <w:jc w:val="start"/>
        <w:rPr/>
      </w:pPr>
      <w:r>
        <w:rPr>
          <w:rFonts w:eastAsia="Open Sans" w:cs="Open Sans" w:ascii="Open Sans" w:hAnsi="Open Sans"/>
          <w:b/>
          <w:bCs/>
          <w:sz w:val="22"/>
          <w:szCs w:val="22"/>
        </w:rPr>
        <w:t>Procesamiento IA:</w:t>
      </w:r>
      <w:r>
        <w:rPr>
          <w:rFonts w:eastAsia="Open Sans" w:cs="Open Sans" w:ascii="Open Sans" w:hAnsi="Open Sans"/>
          <w:sz w:val="22"/>
          <w:szCs w:val="22"/>
        </w:rPr>
        <w:t xml:space="preserve"> API de Anthropic (modelo Claude Haiku) para la traducción al lenguaje claro, con prompts especializados por tipo de acto procesal y perfil de destinatario.</w:t>
      </w:r>
    </w:p>
    <w:p>
      <w:pPr>
        <w:pStyle w:val="ListParagraph"/>
        <w:numPr>
          <w:ilvl w:val="0"/>
          <w:numId w:val="2"/>
        </w:numPr>
        <w:bidi w:val="0"/>
        <w:spacing w:before="0" w:after="60"/>
        <w:jc w:val="start"/>
        <w:rPr/>
      </w:pPr>
      <w:r>
        <w:rPr>
          <w:rFonts w:eastAsia="Open Sans" w:cs="Open Sans" w:ascii="Open Sans" w:hAnsi="Open Sans"/>
          <w:b/>
          <w:bCs/>
          <w:sz w:val="22"/>
          <w:szCs w:val="22"/>
        </w:rPr>
        <w:t>Base de datos:</w:t>
      </w:r>
      <w:r>
        <w:rPr>
          <w:rFonts w:eastAsia="Open Sans" w:cs="Open Sans" w:ascii="Open Sans" w:hAnsi="Open Sans"/>
          <w:sz w:val="22"/>
          <w:szCs w:val="22"/>
        </w:rPr>
        <w:t xml:space="preserve"> Supabase (PostgreSQL) con columna JSONB para datos procesados, lo que permite incorporar nuevos campos sin migraciones de esquema.</w:t>
      </w:r>
    </w:p>
    <w:p>
      <w:pPr>
        <w:pStyle w:val="ListParagraph"/>
        <w:numPr>
          <w:ilvl w:val="0"/>
          <w:numId w:val="2"/>
        </w:numPr>
        <w:bidi w:val="0"/>
        <w:spacing w:before="0" w:after="60"/>
        <w:jc w:val="start"/>
        <w:rPr/>
      </w:pPr>
      <w:r>
        <w:rPr>
          <w:rFonts w:eastAsia="Open Sans" w:cs="Open Sans" w:ascii="Open Sans" w:hAnsi="Open Sans"/>
          <w:b/>
          <w:bCs/>
          <w:sz w:val="22"/>
          <w:szCs w:val="22"/>
        </w:rPr>
        <w:t>Generación de QR:</w:t>
      </w:r>
      <w:r>
        <w:rPr>
          <w:rFonts w:eastAsia="Open Sans" w:cs="Open Sans" w:ascii="Open Sans" w:hAnsi="Open Sans"/>
          <w:sz w:val="22"/>
          <w:szCs w:val="22"/>
        </w:rPr>
        <w:t xml:space="preserve"> Librería open source qrcode, con URL única por notificación.</w:t>
      </w:r>
    </w:p>
    <w:p>
      <w:pPr>
        <w:pStyle w:val="ListParagraph"/>
        <w:numPr>
          <w:ilvl w:val="0"/>
          <w:numId w:val="2"/>
        </w:numPr>
        <w:bidi w:val="0"/>
        <w:spacing w:before="0" w:after="60"/>
        <w:jc w:val="start"/>
        <w:rPr/>
      </w:pPr>
      <w:r>
        <w:rPr>
          <w:rFonts w:eastAsia="Open Sans" w:cs="Open Sans" w:ascii="Open Sans" w:hAnsi="Open Sans"/>
          <w:b/>
          <w:bCs/>
          <w:sz w:val="22"/>
          <w:szCs w:val="22"/>
        </w:rPr>
        <w:t>Frontend ciudadano:</w:t>
      </w:r>
      <w:r>
        <w:rPr>
          <w:rFonts w:eastAsia="Open Sans" w:cs="Open Sans" w:ascii="Open Sans" w:hAnsi="Open Sans"/>
          <w:sz w:val="22"/>
          <w:szCs w:val="22"/>
        </w:rPr>
        <w:t xml:space="preserve"> Diseño mobile-first con Tailwind CSS, accesible sin instalación de aplicación alguna.</w:t>
      </w:r>
    </w:p>
    <w:p>
      <w:pPr>
        <w:pStyle w:val="ListParagraph"/>
        <w:numPr>
          <w:ilvl w:val="0"/>
          <w:numId w:val="2"/>
        </w:numPr>
        <w:bidi w:val="0"/>
        <w:spacing w:before="0" w:after="120"/>
        <w:jc w:val="start"/>
        <w:rPr/>
      </w:pPr>
      <w:r>
        <w:rPr>
          <w:rFonts w:eastAsia="Open Sans" w:cs="Open Sans" w:ascii="Open Sans" w:hAnsi="Open Sans"/>
          <w:b/>
          <w:bCs/>
          <w:sz w:val="22"/>
          <w:szCs w:val="22"/>
        </w:rPr>
        <w:t>Hosting:</w:t>
      </w:r>
      <w:r>
        <w:rPr>
          <w:rFonts w:eastAsia="Open Sans" w:cs="Open Sans" w:ascii="Open Sans" w:hAnsi="Open Sans"/>
          <w:sz w:val="22"/>
          <w:szCs w:val="22"/>
        </w:rPr>
        <w:t xml:space="preserve"> Vercel (plan gratuito), con despliegue automático desde GitHub.</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La URL de producción del sistema piloto es: https://notificar-clara.vercel.app</w:t>
      </w:r>
    </w:p>
    <w:p>
      <w:pPr>
        <w:pStyle w:val="Normal"/>
        <w:bidi w:val="0"/>
        <w:spacing w:before="360" w:after="120"/>
        <w:jc w:val="start"/>
        <w:rPr>
          <w:rFonts w:ascii="Montserrat" w:hAnsi="Montserrat" w:eastAsia="Montserrat" w:cs="Montserrat"/>
          <w:b/>
          <w:bCs/>
          <w:color w:val="003366"/>
          <w:sz w:val="40"/>
          <w:szCs w:val="40"/>
        </w:rPr>
      </w:pPr>
      <w:r>
        <w:rPr>
          <w:rFonts w:eastAsia="Montserrat" w:cs="Montserrat" w:ascii="Montserrat" w:hAnsi="Montserrat"/>
          <w:b/>
          <w:bCs/>
          <w:color w:val="003366"/>
          <w:sz w:val="40"/>
          <w:szCs w:val="40"/>
        </w:rPr>
        <w:t>4.3. Tipos de actos procesales y perfiles de destinatario contemplados</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El sistema contempla diez tipos de actos procesales: testimonial, indagatoria, resolución civil, resolución penal, sentencia civil, sentencia penal, sentencia de cámara, alimentos, accesibilidad auditiva, accesibilidad visual. Para cada tipo, la IA genera un prompt especializado que enfatiza los elementos más relevantes para el destinatario.</w:t>
      </w:r>
    </w:p>
    <w:p>
      <w:pPr>
        <w:pStyle w:val="Normal"/>
        <w:bidi w:val="0"/>
        <w:spacing w:lineRule="auto" w:line="300" w:before="0" w:after="120"/>
        <w:jc w:val="both"/>
        <w:rPr/>
      </w:pPr>
      <w:r>
        <w:rPr>
          <w:rFonts w:eastAsia="Open Sans" w:cs="Open Sans" w:ascii="Open Sans" w:hAnsi="Open Sans"/>
          <w:sz w:val="22"/>
          <w:szCs w:val="22"/>
        </w:rPr>
        <w:t>Los perfiles de destinatario implementados son once: actor, demandado, imputado, víctima, testigo, NNA 0-6 años, NNA 7-12 años, NNA 13-17 años, adulto mayor, letrado y perito. Los dos últimos reciben únicamente un triage de urgencia, dado que su formación jurídica hace innecesaria la explicación en lenguaje claro.</w:t>
      </w:r>
    </w:p>
    <w:p>
      <w:pPr>
        <w:pStyle w:val="Normal"/>
        <w:bidi w:val="0"/>
        <w:spacing w:before="360" w:after="120"/>
        <w:jc w:val="start"/>
        <w:rPr>
          <w:rFonts w:ascii="Montserrat" w:hAnsi="Montserrat" w:eastAsia="Montserrat" w:cs="Montserrat"/>
          <w:b/>
          <w:bCs/>
          <w:color w:val="003366"/>
          <w:sz w:val="40"/>
          <w:szCs w:val="40"/>
        </w:rPr>
      </w:pPr>
      <w:r>
        <w:rPr>
          <w:rFonts w:eastAsia="Montserrat" w:cs="Montserrat" w:ascii="Montserrat" w:hAnsi="Montserrat"/>
          <w:b/>
          <w:bCs/>
          <w:color w:val="003366"/>
          <w:sz w:val="40"/>
          <w:szCs w:val="40"/>
        </w:rPr>
        <w:t>4.4. Módulo de ajustes razonables (v1.1 y v1.2)</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La versión 1.1 del sistema incorporó un módulo de ajustes razonables de procedimiento, que permite al operador judicial activar, para cada notificación, las siguientes funciones:</w:t>
      </w:r>
    </w:p>
    <w:p>
      <w:pPr>
        <w:pStyle w:val="ListParagraph"/>
        <w:numPr>
          <w:ilvl w:val="0"/>
          <w:numId w:val="2"/>
        </w:numPr>
        <w:bidi w:val="0"/>
        <w:spacing w:before="0" w:after="60"/>
        <w:jc w:val="start"/>
        <w:rPr/>
      </w:pPr>
      <w:r>
        <w:rPr>
          <w:rFonts w:eastAsia="Open Sans" w:cs="Open Sans" w:ascii="Open Sans" w:hAnsi="Open Sans"/>
          <w:b/>
          <w:bCs/>
          <w:sz w:val="22"/>
          <w:szCs w:val="22"/>
        </w:rPr>
        <w:t>Identificación del tipo de discapacidad:</w:t>
      </w:r>
      <w:r>
        <w:rPr>
          <w:rFonts w:eastAsia="Open Sans" w:cs="Open Sans" w:ascii="Open Sans" w:hAnsi="Open Sans"/>
          <w:sz w:val="22"/>
          <w:szCs w:val="22"/>
        </w:rPr>
        <w:t xml:space="preserve"> visual, auditiva, motriz, intelectual/psicosocial. Cada tipo activa un prompt IA especializado con las instrucciones procesales pertinentes.</w:t>
      </w:r>
    </w:p>
    <w:p>
      <w:pPr>
        <w:pStyle w:val="ListParagraph"/>
        <w:numPr>
          <w:ilvl w:val="0"/>
          <w:numId w:val="2"/>
        </w:numPr>
        <w:bidi w:val="0"/>
        <w:spacing w:before="0" w:after="60"/>
        <w:jc w:val="start"/>
        <w:rPr/>
      </w:pPr>
      <w:r>
        <w:rPr>
          <w:rFonts w:eastAsia="Open Sans" w:cs="Open Sans" w:ascii="Open Sans" w:hAnsi="Open Sans"/>
          <w:b/>
          <w:bCs/>
          <w:sz w:val="22"/>
          <w:szCs w:val="22"/>
        </w:rPr>
        <w:t>Accesibilidad automática:</w:t>
      </w:r>
      <w:r>
        <w:rPr>
          <w:rFonts w:eastAsia="Open Sans" w:cs="Open Sans" w:ascii="Open Sans" w:hAnsi="Open Sans"/>
          <w:sz w:val="22"/>
          <w:szCs w:val="22"/>
        </w:rPr>
        <w:t xml:space="preserve"> Para discapacidad visual y adultos mayores, el sistema activa por defecto el modo de alto contraste y tipografía ampliada, sin que el usuario deba configurarlo manualmente.</w:t>
      </w:r>
    </w:p>
    <w:p>
      <w:pPr>
        <w:pStyle w:val="ListParagraph"/>
        <w:numPr>
          <w:ilvl w:val="0"/>
          <w:numId w:val="2"/>
        </w:numPr>
        <w:bidi w:val="0"/>
        <w:spacing w:before="0" w:after="60"/>
        <w:jc w:val="start"/>
        <w:rPr/>
      </w:pPr>
      <w:r>
        <w:rPr>
          <w:rFonts w:eastAsia="Open Sans" w:cs="Open Sans" w:ascii="Open Sans" w:hAnsi="Open Sans"/>
          <w:b/>
          <w:bCs/>
          <w:sz w:val="22"/>
          <w:szCs w:val="22"/>
        </w:rPr>
        <w:t>Referente de atención:</w:t>
      </w:r>
      <w:r>
        <w:rPr>
          <w:rFonts w:eastAsia="Open Sans" w:cs="Open Sans" w:ascii="Open Sans" w:hAnsi="Open Sans"/>
          <w:sz w:val="22"/>
          <w:szCs w:val="22"/>
        </w:rPr>
        <w:t xml:space="preserve"> El operador puede indicar el nombre y cargo del/la agente judicial designado/a para atender a la persona. La notificación muestra este dato destacado, para que la persona sepa a quién preguntar al llegar al organismo.</w:t>
      </w:r>
    </w:p>
    <w:p>
      <w:pPr>
        <w:pStyle w:val="ListParagraph"/>
        <w:numPr>
          <w:ilvl w:val="0"/>
          <w:numId w:val="2"/>
        </w:numPr>
        <w:bidi w:val="0"/>
        <w:spacing w:before="0" w:after="60"/>
        <w:jc w:val="start"/>
        <w:rPr/>
      </w:pPr>
      <w:r>
        <w:rPr>
          <w:rFonts w:eastAsia="Open Sans" w:cs="Open Sans" w:ascii="Open Sans" w:hAnsi="Open Sans"/>
          <w:b/>
          <w:bCs/>
          <w:sz w:val="22"/>
          <w:szCs w:val="22"/>
        </w:rPr>
        <w:t>Orientación geográfica:</w:t>
      </w:r>
      <w:r>
        <w:rPr>
          <w:rFonts w:eastAsia="Open Sans" w:cs="Open Sans" w:ascii="Open Sans" w:hAnsi="Open Sans"/>
          <w:sz w:val="22"/>
          <w:szCs w:val="22"/>
        </w:rPr>
        <w:t xml:space="preserve"> Información de transporte público y acceso accesible al edificio judicial, con vínculo a Google Maps para navegación asistida.</w:t>
      </w:r>
    </w:p>
    <w:p>
      <w:pPr>
        <w:pStyle w:val="ListParagraph"/>
        <w:numPr>
          <w:ilvl w:val="0"/>
          <w:numId w:val="2"/>
        </w:numPr>
        <w:bidi w:val="0"/>
        <w:spacing w:before="0" w:after="60"/>
        <w:jc w:val="start"/>
        <w:rPr/>
      </w:pPr>
      <w:r>
        <w:rPr>
          <w:rFonts w:eastAsia="Open Sans" w:cs="Open Sans" w:ascii="Open Sans" w:hAnsi="Open Sans"/>
          <w:b/>
          <w:bCs/>
          <w:sz w:val="22"/>
          <w:szCs w:val="22"/>
        </w:rPr>
        <w:t>Recordatorio de acompañante:</w:t>
      </w:r>
      <w:r>
        <w:rPr>
          <w:rFonts w:eastAsia="Open Sans" w:cs="Open Sans" w:ascii="Open Sans" w:hAnsi="Open Sans"/>
          <w:sz w:val="22"/>
          <w:szCs w:val="22"/>
        </w:rPr>
        <w:t xml:space="preserve"> Para personas con discapacidad y adultos mayores, la notificación incluye un aviso destacado del derecho a concurrir acompañado de una persona de apoyo.</w:t>
      </w:r>
    </w:p>
    <w:p>
      <w:pPr>
        <w:pStyle w:val="ListParagraph"/>
        <w:numPr>
          <w:ilvl w:val="0"/>
          <w:numId w:val="2"/>
        </w:numPr>
        <w:bidi w:val="0"/>
        <w:spacing w:before="0" w:after="120"/>
        <w:jc w:val="start"/>
        <w:rPr/>
      </w:pPr>
      <w:r>
        <w:rPr>
          <w:rFonts w:eastAsia="Open Sans" w:cs="Open Sans" w:ascii="Open Sans" w:hAnsi="Open Sans"/>
          <w:b/>
          <w:bCs/>
          <w:sz w:val="22"/>
          <w:szCs w:val="22"/>
        </w:rPr>
        <w:t>Canal de solicitud de ajuste:</w:t>
      </w:r>
      <w:r>
        <w:rPr>
          <w:rFonts w:eastAsia="Open Sans" w:cs="Open Sans" w:ascii="Open Sans" w:hAnsi="Open Sans"/>
          <w:sz w:val="22"/>
          <w:szCs w:val="22"/>
        </w:rPr>
        <w:t xml:space="preserve"> Botón de comunicación directa con el órgano para que la persona informe qué ajuste razonable le resulta más adecuado a sus necesidades, especialmente relevante en la primera notificación.</w:t>
      </w:r>
    </w:p>
    <w:p>
      <w:pPr>
        <w:pStyle w:val="Normal"/>
        <w:bidi w:val="0"/>
        <w:spacing w:before="360" w:after="120"/>
        <w:jc w:val="start"/>
        <w:rPr>
          <w:rFonts w:ascii="Montserrat" w:hAnsi="Montserrat" w:eastAsia="Montserrat" w:cs="Montserrat"/>
          <w:b/>
          <w:bCs/>
          <w:color w:val="003366"/>
          <w:sz w:val="40"/>
          <w:szCs w:val="40"/>
        </w:rPr>
      </w:pPr>
      <w:r>
        <w:rPr>
          <w:rFonts w:eastAsia="Montserrat" w:cs="Montserrat" w:ascii="Montserrat" w:hAnsi="Montserrat"/>
          <w:b/>
          <w:bCs/>
          <w:color w:val="003366"/>
          <w:sz w:val="40"/>
          <w:szCs w:val="40"/>
        </w:rPr>
        <w:t>4.5. Asistente virtual Clara: video con subtítulos</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La versión 1.2 incorporó un video de presentación con subtítulos sincronizados que se muestra automáticamente al escanear el QR. Clara, la asistente virtual, explica en 40 segundos el propósito de la notificación y las herramientas disponibles en la página. Los subtítulos son esenciales para la accesibilidad de personas con discapacidad auditiva, en cumplimiento de las previsiones del art. 9 de la CDPD.</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El video puede cerrarse con un único gesto (swipe o toque en "omitir"), tras lo cual la interfaz muestra directamente el contenido de la notificación. Esta decisión de diseño respeta la autonomía del usuario y reduce la fricción para quienes no requieren el video introductorio.</w:t>
      </w:r>
    </w:p>
    <w:p>
      <w:pPr>
        <w:pStyle w:val="Normal"/>
        <w:bidi w:val="0"/>
        <w:spacing w:before="360" w:after="120"/>
        <w:jc w:val="start"/>
        <w:rPr>
          <w:rFonts w:ascii="Montserrat" w:hAnsi="Montserrat" w:eastAsia="Montserrat" w:cs="Montserrat"/>
          <w:b/>
          <w:bCs/>
          <w:color w:val="003366"/>
          <w:sz w:val="40"/>
          <w:szCs w:val="40"/>
        </w:rPr>
      </w:pPr>
      <w:r>
        <w:rPr>
          <w:rFonts w:eastAsia="Montserrat" w:cs="Montserrat" w:ascii="Montserrat" w:hAnsi="Montserrat"/>
          <w:b/>
          <w:bCs/>
          <w:color w:val="003366"/>
          <w:sz w:val="40"/>
          <w:szCs w:val="40"/>
        </w:rPr>
        <w:t>4.6. Documento original y enlace al abogado/a</w:t>
      </w:r>
    </w:p>
    <w:p>
      <w:pPr>
        <w:pStyle w:val="Normal"/>
        <w:bidi w:val="0"/>
        <w:spacing w:lineRule="auto" w:line="300" w:before="0" w:after="120"/>
        <w:jc w:val="both"/>
        <w:rPr/>
      </w:pPr>
      <w:r>
        <w:rPr>
          <w:rFonts w:eastAsia="Open Sans" w:cs="Open Sans" w:ascii="Open Sans" w:hAnsi="Open Sans"/>
          <w:sz w:val="22"/>
          <w:szCs w:val="22"/>
        </w:rPr>
        <w:t>El sistema permite al operador adjuntar el link al documento judicial original (PDF almacenado en Google Drive u otro servicio). La persona notificada puede abrir el PDF directamente o reenviárselo a su abogado/a con un toque, mediante un enlace de WhatsApp preconfigurado. Esta funcionalidad responde a la necesidad —identificada en la Guía de Buenas Prácticas (Res. SC 1131/26)— de que las personas en condición de vulnerabilidad cuenten con intermediarios o con acceso a los documentos originales cuando así lo requieran.</w:t>
      </w:r>
    </w:p>
    <w:p>
      <w:pPr>
        <w:pStyle w:val="Normal"/>
        <w:bidi w:val="0"/>
        <w:jc w:val="start"/>
        <w:rPr/>
      </w:pPr>
      <w:r>
        <w:rPr/>
      </w:r>
      <w:r>
        <w:br w:type="page"/>
      </w:r>
    </w:p>
    <w:p>
      <w:pPr>
        <w:pStyle w:val="Normal"/>
        <w:pBdr>
          <w:bottom w:val="single" w:sz="12" w:space="0" w:color="00C2C2"/>
        </w:pBdr>
        <w:bidi w:val="0"/>
        <w:spacing w:before="0" w:after="200"/>
        <w:jc w:val="start"/>
        <w:rPr>
          <w:rFonts w:ascii="Montserrat" w:hAnsi="Montserrat" w:eastAsia="Montserrat" w:cs="Montserrat"/>
          <w:b/>
          <w:bCs/>
          <w:color w:val="003366"/>
          <w:sz w:val="52"/>
          <w:szCs w:val="52"/>
        </w:rPr>
      </w:pPr>
      <w:r>
        <w:rPr>
          <w:rFonts w:eastAsia="Montserrat" w:cs="Montserrat" w:ascii="Montserrat" w:hAnsi="Montserrat"/>
          <w:b/>
          <w:bCs/>
          <w:color w:val="003366"/>
          <w:sz w:val="52"/>
          <w:szCs w:val="52"/>
        </w:rPr>
        <w:t>5.  Viabilidad económica</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El sistema piloto opera con costos operativos mínimos. El costo por notificación procesada se estima en aproximadamente $0,003 USD (modelo Claude Haiku, ~1500 tokens por notificación). Para un volumen de 10.000 notificaciones mensuales —estimación conservadora para un solo órgano judicial de mediana actividad— el costo mensual de API sería de aproximadamente 30 dólares.</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Los servicios de infraestructura operan en planes gratuitos durante la fase piloto (Vercel Free, Supabase Free), con capacidad para escalar a planes pagos de bajo costo cuando el volumen lo requiera. No se requiere inversión en servidores propios ni licencias de software. El costo total de implementación piloto es compatible con partidas presupuestarias de innovación de cualquier órgano judicial.</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A los efectos de la evaluación de viabilidad, debe considerarse también el costo del no-actuar: un solo proceso declarado nulo por indefensión vinculada a la incomprensión de una notificación genera costos procesales, materiales e institucionales ampliamente superiores al costo de cualquier sistema preventivo de mediación comunicacional.</w:t>
      </w:r>
    </w:p>
    <w:p>
      <w:pPr>
        <w:pStyle w:val="Normal"/>
        <w:pBdr>
          <w:bottom w:val="single" w:sz="12" w:space="0" w:color="00C2C2"/>
        </w:pBdr>
        <w:bidi w:val="0"/>
        <w:spacing w:before="400" w:after="200"/>
        <w:jc w:val="start"/>
        <w:rPr>
          <w:rFonts w:ascii="Montserrat" w:hAnsi="Montserrat" w:eastAsia="Montserrat" w:cs="Montserrat"/>
          <w:b/>
          <w:bCs/>
          <w:color w:val="003366"/>
          <w:sz w:val="52"/>
          <w:szCs w:val="52"/>
        </w:rPr>
      </w:pPr>
      <w:r>
        <w:rPr>
          <w:rFonts w:eastAsia="Montserrat" w:cs="Montserrat" w:ascii="Montserrat" w:hAnsi="Montserrat"/>
          <w:b/>
          <w:bCs/>
          <w:color w:val="003366"/>
          <w:sz w:val="52"/>
          <w:szCs w:val="52"/>
        </w:rPr>
        <w:t>6.  Consideraciones de implementación y horizonte de piloto</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El sistema se encuentra en su versión de prototipo funcional (MVP) operativo en producción desde agosto de 2026. La fase piloto proyectada para el cuarto trimestre de 2026 contempla la demostración del sistema en el contexto del III Congreso de la Red Panhispánica de Lenguaje Claro y Accesible (La Plata, octubre de 2026), con casos ficticios representativos de la diversidad de actos procesales y perfiles de destinatario.</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La escalabilidad del sistema hacia otros órganos del Ministerio Público o del Poder Judicial no requiere modificaciones arquitectónicas significativas. El diseño modular permite incorporar nuevos tipos de acto, nuevos perfiles de destinatario y nuevos módulos de accesibilidad mediante la extensión de los archivos de configuración de prompts, sin afectar la infraestructura de base.</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Las mejoras identificadas para versiones futuras incluyen: la transición automática desde el video introductorio a la pantalla de notificación; la implementación de retroalimentación táctil y lectura en voz alta para personas con discapacidad visual; y un subsistema de notificaciones periódicas automatizadas por WhatsApp Business para el seguimiento de obligaciones alimentarias y otras resoluciones de cumplimiento periódico.</w:t>
      </w:r>
    </w:p>
    <w:p>
      <w:pPr>
        <w:pStyle w:val="Normal"/>
        <w:bidi w:val="0"/>
        <w:jc w:val="start"/>
        <w:rPr/>
      </w:pPr>
      <w:r>
        <w:rPr/>
      </w:r>
      <w:r>
        <w:br w:type="page"/>
      </w:r>
    </w:p>
    <w:p>
      <w:pPr>
        <w:pStyle w:val="Normal"/>
        <w:pBdr>
          <w:bottom w:val="single" w:sz="12" w:space="0" w:color="00C2C2"/>
        </w:pBdr>
        <w:bidi w:val="0"/>
        <w:spacing w:before="0" w:after="200"/>
        <w:jc w:val="start"/>
        <w:rPr>
          <w:rFonts w:ascii="Montserrat" w:hAnsi="Montserrat" w:eastAsia="Montserrat" w:cs="Montserrat"/>
          <w:b/>
          <w:bCs/>
          <w:color w:val="003366"/>
          <w:sz w:val="52"/>
          <w:szCs w:val="52"/>
        </w:rPr>
      </w:pPr>
      <w:r>
        <w:rPr>
          <w:rFonts w:eastAsia="Montserrat" w:cs="Montserrat" w:ascii="Montserrat" w:hAnsi="Montserrat"/>
          <w:b/>
          <w:bCs/>
          <w:color w:val="003366"/>
          <w:sz w:val="52"/>
          <w:szCs w:val="52"/>
        </w:rPr>
        <w:t>7.  Conclusiones</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NotificAR Clara demuestra que es posible reducir la brecha comunicacional del sistema judicial sin modificar sus procedimientos, sin inversiones significativas y sin abandonar el rigor técnico que el derecho exige. La herramienta propuesta es, en esencia, la traducción tecnológica de un principio ético elemental: que el Estado tiene la obligación de hablarle al ciudadano en su propio idioma.</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El sistema responde no solo a las exigencias del lenguaje claro, sino a la obligación convencional de adoptar ajustes razonables de procedimiento para personas con discapacidad, a las garantías especiales de NNA, y al deber de asegurar un envejecimiento digno que incluya el acceso real a la justicia. Las guías de buenas prácticas aprobadas por la Suprema Corte de Justicia de la Provincia de Buenos Aires —lenguaje claro, discapacidad, personas mayores, NNA, género— proveen el marco normativo y conceptual que justifica, orienta y legitima cada decisión de diseño del sistema.</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La implementación de NotificAR Clara no agota el problema, pero representa un paso concreto, replicable y medible en la dirección correcta. Invitamos a la comunidad académica, a los operadores judiciales y a los decisores institucionales a sumarse a esta experiencia y a contribuir con sus perspectivas a su mejora continua.</w:t>
      </w:r>
    </w:p>
    <w:p>
      <w:pPr>
        <w:pStyle w:val="Normal"/>
        <w:pBdr>
          <w:bottom w:val="single" w:sz="6" w:space="0" w:color="00C2C2"/>
        </w:pBdr>
        <w:bidi w:val="0"/>
        <w:spacing w:before="100" w:after="100"/>
        <w:jc w:val="start"/>
        <w:rPr/>
      </w:pPr>
      <w:r>
        <w:rPr/>
      </w:r>
    </w:p>
    <w:p>
      <w:pPr>
        <w:pStyle w:val="Normal"/>
        <w:bidi w:val="0"/>
        <w:spacing w:before="0" w:after="60"/>
        <w:jc w:val="start"/>
        <w:rPr/>
      </w:pPr>
      <w:r>
        <w:rPr/>
      </w:r>
    </w:p>
    <w:p>
      <w:pPr>
        <w:pStyle w:val="Normal"/>
        <w:pBdr>
          <w:bottom w:val="single" w:sz="12" w:space="0" w:color="00C2C2"/>
        </w:pBdr>
        <w:bidi w:val="0"/>
        <w:spacing w:before="400" w:after="200"/>
        <w:jc w:val="start"/>
        <w:rPr>
          <w:rFonts w:ascii="Montserrat" w:hAnsi="Montserrat" w:eastAsia="Montserrat" w:cs="Montserrat"/>
          <w:b/>
          <w:bCs/>
          <w:color w:val="003366"/>
          <w:sz w:val="52"/>
          <w:szCs w:val="52"/>
        </w:rPr>
      </w:pPr>
      <w:r>
        <w:rPr>
          <w:rFonts w:eastAsia="Montserrat" w:cs="Montserrat" w:ascii="Montserrat" w:hAnsi="Montserrat"/>
          <w:b/>
          <w:bCs/>
          <w:color w:val="003366"/>
          <w:sz w:val="52"/>
          <w:szCs w:val="52"/>
        </w:rPr>
        <w:t>Referencias</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Suprema Corte de Justicia de la Provincia de Buenos Aires (2026). Guía de Buenas Prácticas para el Empleo de un Lenguaje Claro y Accesible. Resolución SC 1131/26.</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Suprema Corte de Justicia de la Provincia de Buenos Aires (2025). Guía de Buenas Prácticas para el Acceso a la Justicia de las Personas con Discapacidad.</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Suprema Corte de Justicia de la Provincia de Buenos Aires (2025). Guía de Buenas Prácticas para el Acceso a la Justicia de las Personas Mayores.</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Suprema Corte de Justicia de la Provincia de Buenos Aires (2025). Guía para Escuchar a Niños, Niñas y Adolescentes en el Proceso Judicial.</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Suprema Corte de Justicia de la Provincia de Buenos Aires (2024). Guía de Buenas Prácticas para la Organización de Audiencias en Procesos Penales Vinculados a Delitos por Razones de Género. Resolución SC 189/24.</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ONU (2006). Convención sobre los Derechos de las Personas con Discapacidad. A/RES/61/106.</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OEA (2015). Convención Interamericana sobre la Protección de los Derechos Humanos de las Personas Mayores. A-70.</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OEA (1969). Convención Americana sobre Derechos Humanos. OASTS 36.</w:t>
      </w:r>
    </w:p>
    <w:p>
      <w:pPr>
        <w:pStyle w:val="Normal"/>
        <w:bidi w:val="0"/>
        <w:spacing w:lineRule="auto" w:line="300" w:before="0" w:after="120"/>
        <w:jc w:val="both"/>
        <w:rPr/>
      </w:pPr>
      <w:r>
        <w:rPr>
          <w:rFonts w:eastAsia="Open Sans" w:cs="Open Sans" w:ascii="Open Sans" w:hAnsi="Open Sans"/>
          <w:sz w:val="22"/>
          <w:szCs w:val="22"/>
        </w:rPr>
        <w:t>XIV Cumbre Judicial Iberoamericana (2008, rev. 2018). Reglas de Brasilia sobre el Acceso a la Justicia de las Personas en Condición de Vulnerabilidad.</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Corte Interamericana de Derechos Humanos (2021). Caso Guachalá Chimbó y otros vs. Ecuador.</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Corte Interamericana de Derechos Humanos (2016). Caso Chinchilla Sandoval vs. Guatemala.</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ENACOM (2025). Informe de conectividad – 2° trimestre 2025.</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Ley 26.061 (2005). Protección Integral de los Derechos de las Niñas, Niños y Adolescentes. Argentina.</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Ley 27.044 (2014). Jerarquía constitucional a la Convención sobre los Derechos de las Personas con Discapacidad. Argentina.</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Ley 15.184 (2020). Lenguaje Claro en la Administración Pública Provincial. Provincia de Buenos Aires.</w:t>
      </w:r>
    </w:p>
    <w:p>
      <w:pPr>
        <w:pStyle w:val="Normal"/>
        <w:bidi w:val="0"/>
        <w:spacing w:lineRule="auto" w:line="300" w:before="0" w:after="120"/>
        <w:jc w:val="both"/>
        <w:rPr>
          <w:rFonts w:ascii="Open Sans" w:hAnsi="Open Sans" w:eastAsia="Open Sans" w:cs="Open Sans"/>
          <w:sz w:val="22"/>
          <w:szCs w:val="22"/>
        </w:rPr>
      </w:pPr>
      <w:r>
        <w:rPr>
          <w:rFonts w:eastAsia="Open Sans" w:cs="Open Sans" w:ascii="Open Sans" w:hAnsi="Open Sans"/>
          <w:sz w:val="22"/>
          <w:szCs w:val="22"/>
        </w:rPr>
        <w:t>Ley 15.232 (2021). Asistencia, Protección e Intervención del Estado respecto de las Víctimas de Delito. Provincia de Buenos Aires.</w:t>
      </w:r>
    </w:p>
    <w:p>
      <w:pPr>
        <w:pStyle w:val="Normal"/>
        <w:pBdr>
          <w:bottom w:val="single" w:sz="6" w:space="0" w:color="00C2C2"/>
        </w:pBdr>
        <w:bidi w:val="0"/>
        <w:spacing w:before="100" w:after="100"/>
        <w:jc w:val="start"/>
        <w:rPr/>
      </w:pPr>
      <w:r>
        <w:rPr/>
      </w:r>
    </w:p>
    <w:p>
      <w:pPr>
        <w:pStyle w:val="Normal"/>
        <w:bidi w:val="0"/>
        <w:spacing w:before="0" w:after="60"/>
        <w:jc w:val="start"/>
        <w:rPr/>
      </w:pPr>
      <w:r>
        <w:rPr/>
      </w:r>
    </w:p>
    <w:p>
      <w:pPr>
        <w:pStyle w:val="Normal"/>
        <w:bidi w:val="0"/>
        <w:spacing w:before="400" w:after="60"/>
        <w:jc w:val="center"/>
        <w:rPr>
          <w:rFonts w:ascii="Roboto Mono" w:hAnsi="Roboto Mono" w:eastAsia="Roboto Mono" w:cs="Roboto Mono"/>
          <w:color w:val="00C2C2"/>
          <w:sz w:val="20"/>
          <w:szCs w:val="20"/>
        </w:rPr>
      </w:pPr>
      <w:r>
        <w:rPr>
          <w:rFonts w:eastAsia="Roboto Mono" w:cs="Roboto Mono" w:ascii="Roboto Mono" w:hAnsi="Roboto Mono"/>
          <w:color w:val="00C2C2"/>
          <w:sz w:val="20"/>
          <w:szCs w:val="20"/>
        </w:rPr>
        <w:t>Red Marea D+I — Derecho e innovación en red</w:t>
      </w:r>
    </w:p>
    <w:p>
      <w:pPr>
        <w:pStyle w:val="Normal"/>
        <w:bidi w:val="0"/>
        <w:jc w:val="center"/>
        <w:rPr>
          <w:rFonts w:ascii="Roboto Mono" w:hAnsi="Roboto Mono" w:eastAsia="Roboto Mono" w:cs="Roboto Mono"/>
          <w:color w:val="666666"/>
          <w:sz w:val="18"/>
          <w:szCs w:val="18"/>
        </w:rPr>
      </w:pPr>
      <w:r>
        <w:rPr>
          <w:rFonts w:eastAsia="Roboto Mono" w:cs="Roboto Mono" w:ascii="Roboto Mono" w:hAnsi="Roboto Mono"/>
          <w:color w:val="666666"/>
          <w:sz w:val="18"/>
          <w:szCs w:val="18"/>
        </w:rPr>
        <w:t>VERSIÓN TÉCNICA · Agosto 2026</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Roboto Mono">
    <w:charset w:val="00" w:characterSet="windows-1252"/>
    <w:family w:val="roman"/>
    <w:pitch w:val="variable"/>
  </w:font>
  <w:font w:name="Montserrat">
    <w:charset w:val="00" w:characterSet="windows-1252"/>
    <w:family w:val="roman"/>
    <w:pitch w:val="variable"/>
  </w:font>
  <w:font w:name="Open Sans">
    <w:charset w:val="00" w:characterSet="windows-1252"/>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es-AR"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Times New Roman" w:hAnsi="Times New Roman" w:eastAsia="NSimSun" w:cs="Lucida Sans"/>
      <w:color w:val="auto"/>
      <w:kern w:val="0"/>
      <w:sz w:val="20"/>
      <w:szCs w:val="20"/>
      <w:lang w:val="es-AR"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rPr>
      <w:color w:val="0563C1"/>
      <w:u w:val="single"/>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FootnoteTextChar">
    <w:name w:val="Footnote Text Char"/>
    <w:qFormat/>
    <w:rPr>
      <w:sz w:val="20"/>
      <w:szCs w:val="20"/>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character" w:styleId="EndnoteTextChar">
    <w:name w:val="Endnote Text Char"/>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basedOn w:val="Ttulo"/>
    <w:qFormat/>
    <w:pPr/>
    <w:rPr>
      <w:sz w:val="56"/>
      <w:szCs w:val="56"/>
    </w:rPr>
  </w:style>
  <w:style w:type="paragraph" w:styleId="StrongEmphasis">
    <w:name w:val="Strong Emphasis"/>
    <w:qFormat/>
    <w:pPr>
      <w:widowControl w:val="false"/>
      <w:kinsoku w:val="true"/>
      <w:overflowPunct w:val="true"/>
      <w:autoSpaceDE w:val="true"/>
      <w:bidi w:val="0"/>
    </w:pPr>
    <w:rPr>
      <w:rFonts w:ascii="Times New Roman" w:hAnsi="Times New Roman" w:eastAsia="NSimSun" w:cs="Lucida Sans"/>
      <w:b/>
      <w:bCs/>
      <w:color w:val="auto"/>
      <w:kern w:val="0"/>
      <w:sz w:val="20"/>
      <w:szCs w:val="20"/>
      <w:lang w:val="es-AR" w:eastAsia="zh-CN" w:bidi="hi-IN"/>
    </w:rPr>
  </w:style>
  <w:style w:type="paragraph" w:styleId="ListParagraph">
    <w:name w:val="List Paragraph"/>
    <w:qFormat/>
    <w:pPr>
      <w:widowControl w:val="false"/>
      <w:kinsoku w:val="true"/>
      <w:overflowPunct w:val="true"/>
      <w:autoSpaceDE w:val="true"/>
      <w:bidi w:val="0"/>
    </w:pPr>
    <w:rPr>
      <w:rFonts w:ascii="Times New Roman" w:hAnsi="Times New Roman" w:eastAsia="NSimSun" w:cs="Lucida Sans"/>
      <w:color w:val="auto"/>
      <w:kern w:val="0"/>
      <w:sz w:val="20"/>
      <w:szCs w:val="20"/>
      <w:lang w:val="es-AR"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51</TotalTime>
  <Application>LibreOffice/26.2.5.2$Windows_X86_64 LibreOffice_project/cd7284b4cbbfeb507e630c1aac019f4157393acb</Application>
  <AppVersion>15.0000</AppVersion>
  <Pages>13</Pages>
  <Words>3866</Words>
  <Characters>22106</Characters>
  <CharactersWithSpaces>25868</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2026-08-20T22:24:55Z</dcterms:created>
  <dc:creator>Un-named</dc:creator>
  <dc:description/>
  <dc:language>es-AR</dc:language>
  <cp:lastModifiedBy/>
  <dcterms:modified xsi:type="dcterms:W3CDTF">2026-08-31T20:50:03Z</dcterms:modified>
  <cp:revision>3</cp:revision>
  <dc:subject/>
  <dc:title/>
</cp:coreProperties>
</file>