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Roboto Mono" w:cs="Roboto Mono" w:eastAsia="Roboto Mono" w:hAnsi="Roboto Mono"/>
          <w:color w:val="003366"/>
          <w:sz w:val="18"/>
          <w:szCs w:val="18"/>
        </w:rPr>
        <w:t xml:space="preserve">VERSIÓN TÉCNICA</w:t>
      </w:r>
    </w:p>
    <w:p>
      <w:pPr>
        <w:spacing w:after="60" w:before="0"/>
      </w:pPr>
      <w:r>
        <w:t xml:space="preserve"/>
      </w:r>
    </w:p>
    <w:p>
      <w:pPr>
        <w:spacing w:after="200" w:before="600"/>
        <w:jc w:val="center"/>
      </w:pPr>
      <w:r>
        <w:rPr>
          <w:rFonts w:ascii="Montserrat" w:cs="Montserrat" w:eastAsia="Montserrat" w:hAnsi="Montserrat"/>
          <w:b/>
          <w:bCs/>
          <w:color w:val="003366"/>
          <w:sz w:val="80"/>
          <w:szCs w:val="80"/>
        </w:rPr>
        <w:t xml:space="preserve">NotificAR Clara</w:t>
      </w:r>
    </w:p>
    <w:p>
      <w:pPr>
        <w:spacing w:after="480" w:before="0"/>
        <w:jc w:val="center"/>
      </w:pPr>
      <w:r>
        <w:rPr>
          <w:rFonts w:ascii="Montserrat" w:cs="Montserrat" w:eastAsia="Montserrat" w:hAnsi="Montserrat"/>
          <w:color w:val="003366"/>
          <w:sz w:val="28"/>
          <w:szCs w:val="28"/>
        </w:rPr>
        <w:t xml:space="preserve">Sistema de Traducción Automática de Notificaciones Judiciales a Lenguaje Claro mediante Inteligencia Artificial y Asistente Virtual de Video</w:t>
      </w:r>
    </w:p>
    <w:p>
      <w:pPr>
        <w:pBdr>
          <w:bottom w:val="single" w:color="00C2C2" w:sz="6"/>
        </w:pBdr>
        <w:spacing w:after="120" w:before="120"/>
      </w:pPr>
    </w:p>
    <w:p>
      <w:pPr>
        <w:spacing w:after="60" w:before="0"/>
      </w:pPr>
      <w:r>
        <w:t xml:space="preserve"/>
      </w:r>
    </w:p>
    <w:p>
      <w:pPr>
        <w:jc w:val="center"/>
      </w:pPr>
      <w:r>
        <w:rPr>
          <w:rFonts w:ascii="Open Sans" w:cs="Open Sans" w:eastAsia="Open Sans" w:hAnsi="Open Sans"/>
          <w:b/>
          <w:bCs/>
          <w:color w:val="003366"/>
          <w:sz w:val="24"/>
          <w:szCs w:val="24"/>
        </w:rPr>
        <w:t xml:space="preserve">Enzo Fontana</w:t>
      </w:r>
    </w:p>
    <w:p>
      <w:pPr>
        <w:jc w:val="center"/>
      </w:pPr>
      <w:r>
        <w:rPr>
          <w:rFonts w:ascii="Open Sans" w:cs="Open Sans" w:eastAsia="Open Sans" w:hAnsi="Open Sans"/>
          <w:color w:val="666666"/>
          <w:sz w:val="22"/>
          <w:szCs w:val="22"/>
        </w:rPr>
        <w:t xml:space="preserve">Sec. Defensoría Oficial – Necochea, Provincia de Buenos Aires</w:t>
      </w:r>
    </w:p>
    <w:p>
      <w:pPr>
        <w:jc w:val="center"/>
      </w:pPr>
      <w:r>
        <w:rPr>
          <w:rFonts w:ascii="Open Sans" w:cs="Open Sans" w:eastAsia="Open Sans" w:hAnsi="Open Sans"/>
          <w:color w:val="666666"/>
          <w:sz w:val="22"/>
          <w:szCs w:val="22"/>
        </w:rPr>
        <w:t xml:space="preserve">dr.fontana@gmail.com</w:t>
      </w:r>
    </w:p>
    <w:p>
      <w:pPr>
        <w:spacing w:after="60" w:before="0"/>
      </w:pPr>
      <w:r>
        <w:t xml:space="preserve"/>
      </w:r>
    </w:p>
    <w:p>
      <w:pPr>
        <w:jc w:val="center"/>
      </w:pPr>
      <w:r>
        <w:rPr>
          <w:rFonts w:ascii="Open Sans" w:cs="Open Sans" w:eastAsia="Open Sans" w:hAnsi="Open Sans"/>
          <w:b/>
          <w:bCs/>
          <w:color w:val="003366"/>
          <w:sz w:val="24"/>
          <w:szCs w:val="24"/>
        </w:rPr>
        <w:t xml:space="preserve">Laura Bulesevich</w:t>
      </w:r>
    </w:p>
    <w:p>
      <w:pPr>
        <w:jc w:val="center"/>
      </w:pPr>
      <w:r>
        <w:rPr>
          <w:rFonts w:ascii="Open Sans" w:cs="Open Sans" w:eastAsia="Open Sans" w:hAnsi="Open Sans"/>
          <w:color w:val="666666"/>
          <w:sz w:val="22"/>
          <w:szCs w:val="22"/>
        </w:rPr>
        <w:t xml:space="preserve">Jueza de Cámara – Necochea, Provincia de Buenos Aires</w:t>
      </w:r>
    </w:p>
    <w:p>
      <w:pPr>
        <w:jc w:val="center"/>
      </w:pPr>
      <w:r>
        <w:rPr>
          <w:rFonts w:ascii="Open Sans" w:cs="Open Sans" w:eastAsia="Open Sans" w:hAnsi="Open Sans"/>
          <w:color w:val="666666"/>
          <w:sz w:val="22"/>
          <w:szCs w:val="22"/>
        </w:rPr>
        <w:t xml:space="preserve">bulesevichlaura@gmail.com</w:t>
      </w:r>
    </w:p>
    <w:p>
      <w:pPr>
        <w:spacing w:after="60" w:before="0"/>
      </w:pPr>
      <w:r>
        <w:t xml:space="preserve"/>
      </w:r>
    </w:p>
    <w:p>
      <w:pPr>
        <w:pBdr>
          <w:bottom w:val="single" w:color="00C2C2" w:sz="6"/>
        </w:pBdr>
        <w:spacing w:after="120" w:before="120"/>
      </w:pPr>
    </w:p>
    <w:p>
      <w:pPr>
        <w:spacing w:after="80" w:before="160"/>
        <w:jc w:val="center"/>
      </w:pPr>
      <w:r>
        <w:rPr>
          <w:rFonts w:ascii="Open Sans" w:cs="Open Sans" w:eastAsia="Open Sans" w:hAnsi="Open Sans"/>
          <w:i/>
          <w:iCs/>
          <w:color w:val="666666"/>
          <w:sz w:val="22"/>
          <w:szCs w:val="22"/>
        </w:rPr>
        <w:t xml:space="preserve">III Convención de la Red Panhispánica de Lenguaje Claro y Accesible</w:t>
      </w:r>
    </w:p>
    <w:p>
      <w:pPr>
        <w:spacing w:after="800" w:before="0"/>
        <w:jc w:val="center"/>
      </w:pPr>
      <w:r>
        <w:rPr>
          <w:rFonts w:ascii="Roboto Mono" w:cs="Roboto Mono" w:eastAsia="Roboto Mono" w:hAnsi="Roboto Mono"/>
          <w:color w:val="00C2C2"/>
          <w:sz w:val="20"/>
          <w:szCs w:val="20"/>
        </w:rPr>
        <w:t xml:space="preserve">Red Marea D+I — Derecho e innovación en red</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Resumen</w:t>
      </w:r>
    </w:p>
    <w:p>
      <w:pPr>
        <w:spacing w:after="140" w:before="0" w:line="320" w:lineRule="auto"/>
        <w:jc w:val="both"/>
      </w:pPr>
      <w:r>
        <w:rPr>
          <w:rFonts w:ascii="Open Sans" w:cs="Open Sans" w:eastAsia="Open Sans" w:hAnsi="Open Sans"/>
          <w:sz w:val="22"/>
          <w:szCs w:val="22"/>
        </w:rPr>
        <w:t xml:space="preserve">El presente trabajo propone el diseño e implementación de NotificAR Clara, un sistema de mediación comunicacional que incorpora, en las notificaciones y citaciones judiciales libradas por los órganos del Poder Judicial y del Ministerio Público de la Provincia de Buenos Aires, un código QR vinculado a un asistente virtual de video con inteligencia artificial. Al escanear dicho código, las personas legas reciben la explicación de la notificación en lenguaje claro, pueden formular preguntas sobre su contenido y acceden a vías de contacto humano con el órgano emisor o con su representación letrada.</w:t>
      </w:r>
    </w:p>
    <w:p>
      <w:pPr>
        <w:spacing w:after="140" w:before="0" w:line="320" w:lineRule="auto"/>
        <w:jc w:val="both"/>
      </w:pPr>
      <w:r>
        <w:rPr>
          <w:rFonts w:ascii="Open Sans" w:cs="Open Sans" w:eastAsia="Open Sans" w:hAnsi="Open Sans"/>
          <w:sz w:val="22"/>
          <w:szCs w:val="22"/>
        </w:rPr>
        <w:t xml:space="preserve">La propuesta parte de un diagnóstico lingüístico y sociológico: el discurso judicial opera como un sistema semiótico cerrado, inaccesible para la mayor parte de la población destinataria de sus actos comunicacionales. Esta inaccesibilidad no es un defecto accidental del lenguaje jurídico sino una característica estructural que tiene consecuencias concretas sobre el ejercicio del derecho de defensa, el debido proceso y la igualdad real de oportunidades ante la justicia.</w:t>
      </w:r>
    </w:p>
    <w:p>
      <w:pPr>
        <w:spacing w:after="140" w:before="0" w:line="320" w:lineRule="auto"/>
        <w:jc w:val="both"/>
      </w:pPr>
      <w:r>
        <w:rPr>
          <w:rFonts w:ascii="Open Sans" w:cs="Open Sans" w:eastAsia="Open Sans" w:hAnsi="Open Sans"/>
          <w:sz w:val="22"/>
          <w:szCs w:val="22"/>
        </w:rPr>
        <w:t xml:space="preserve">El sistema responde a las obligaciones normativas emergentes de la Convención sobre los Derechos de las Personas con Discapacidad, la Convención Interamericana sobre la Protección de los Derechos Humanos de las Personas Mayores, las Reglas de Brasilia y el ordenamiento jurídico provincial, e incorpora los principios del diseño universal y del lenguaje claro como herramientas de inclusión estructural. En su versión 1.2, el sistema implementa ajustes razonables de procedimiento para personas con discapacidad y adultos mayores, un subsistema de orientación hacia el órgano judicial, recordatorio del derecho a concurrir acompañado, identificación de referente de atención personalizada y un canal de comunicación directa para solicitar el ajuste más adecuado en cada caso.</w:t>
      </w:r>
    </w:p>
    <w:p>
      <w:pPr>
        <w:spacing w:after="60" w:before="0"/>
      </w:pPr>
      <w:r>
        <w:t xml:space="preserve"/>
      </w:r>
    </w:p>
    <w:p>
      <w:pPr>
        <w:spacing w:after="140" w:before="0" w:line="320" w:lineRule="auto"/>
        <w:jc w:val="both"/>
      </w:pPr>
      <w:r>
        <w:rPr>
          <w:rFonts w:ascii="Open Sans" w:cs="Open Sans" w:eastAsia="Open Sans" w:hAnsi="Open Sans"/>
          <w:i/>
          <w:iCs/>
          <w:color w:val="666666"/>
          <w:sz w:val="22"/>
          <w:szCs w:val="22"/>
        </w:rPr>
        <w:t xml:space="preserve">Palabras clave: lenguaje claro, notificaciones judiciales, inteligencia artificial, acceso a la justicia, asistente virtual, QR, ajustes razonables, diseño universal, Provincia de Buenos Aires</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1.  La incomprensión de las notificaciones judiciales como problema lingüístico, sociológico y jurídico</w:t>
      </w:r>
    </w:p>
    <w:p>
      <w:pPr>
        <w:spacing w:after="120" w:before="360"/>
      </w:pPr>
      <w:r>
        <w:rPr>
          <w:rFonts w:ascii="Montserrat" w:cs="Montserrat" w:eastAsia="Montserrat" w:hAnsi="Montserrat"/>
          <w:b/>
          <w:bCs/>
          <w:color w:val="003366"/>
          <w:sz w:val="40"/>
          <w:szCs w:val="40"/>
        </w:rPr>
        <w:t xml:space="preserve">1.1. El fracaso comunicacional de la notificación judicial</w:t>
      </w:r>
    </w:p>
    <w:p>
      <w:pPr>
        <w:spacing w:after="140" w:before="0" w:line="320" w:lineRule="auto"/>
        <w:jc w:val="both"/>
      </w:pPr>
      <w:r>
        <w:rPr>
          <w:rFonts w:ascii="Open Sans" w:cs="Open Sans" w:eastAsia="Open Sans" w:hAnsi="Open Sans"/>
          <w:sz w:val="22"/>
          <w:szCs w:val="22"/>
        </w:rPr>
        <w:t xml:space="preserve">Ser notificado de un acto judicial es, en teoría, el punto de partida del ejercicio de los derechos procesales. Recibir una cédula, una notificación electrónica o una citación es la condición sine qua non para comparecer, defenderse, recurrir o cumplir una resolución. Sin embargo, en la práctica cotidiana de los tribunales bonaerenses, un número significativo de personas legas que reciben estas notificaciones no comprenden su contenido, sus consecuencias ni las acciones que deben tomar.</w:t>
      </w:r>
    </w:p>
    <w:p>
      <w:pPr>
        <w:spacing w:after="140" w:before="0" w:line="320" w:lineRule="auto"/>
        <w:jc w:val="both"/>
      </w:pPr>
      <w:r>
        <w:rPr>
          <w:rFonts w:ascii="Open Sans" w:cs="Open Sans" w:eastAsia="Open Sans" w:hAnsi="Open Sans"/>
          <w:sz w:val="22"/>
          <w:szCs w:val="22"/>
        </w:rPr>
        <w:t xml:space="preserve">La notificación judicial es, antes que un acto procesal, un acto de comunicación. Falla como acto procesal cuando falla como acto comunicacional. Y falla como acto comunicacional cuando su destinatario no puede comprender su contenido ni actuar en consecuencia. Esta tautología —que el sistema jurídico suele ignorar— es el punto de partida del presente trabajo.</w:t>
      </w:r>
    </w:p>
    <w:p>
      <w:pPr>
        <w:spacing w:after="140" w:before="0" w:line="320" w:lineRule="auto"/>
        <w:jc w:val="both"/>
      </w:pPr>
      <w:r>
        <w:rPr>
          <w:rFonts w:ascii="Open Sans" w:cs="Open Sans" w:eastAsia="Open Sans" w:hAnsi="Open Sans"/>
          <w:sz w:val="22"/>
          <w:szCs w:val="22"/>
        </w:rPr>
        <w:t xml:space="preserve">El miedo, el desinterés aparente o la pasividad que muchas veces se observa en las partes no son falta de interés en sus propios derechos. Son, frecuentemente, la expresión de una barrera comunicacional que el sistema no ha sabido resolver. La persona que no concurre a una audiencia porque no entendió la cédula, o que no recurre una sentencia porque ignoraba que tenía ese derecho, o que no contacta a su defensor porque no sabía que le correspondía uno, no está ejerciendo una opción: está siendo excluida.</w:t>
      </w:r>
    </w:p>
    <w:p>
      <w:pPr>
        <w:spacing w:after="120" w:before="360"/>
      </w:pPr>
      <w:r>
        <w:rPr>
          <w:rFonts w:ascii="Montserrat" w:cs="Montserrat" w:eastAsia="Montserrat" w:hAnsi="Montserrat"/>
          <w:b/>
          <w:bCs/>
          <w:color w:val="003366"/>
          <w:sz w:val="40"/>
          <w:szCs w:val="40"/>
        </w:rPr>
        <w:t xml:space="preserve">1.2. Consecuencias jurídicas concretas de la incomprensión</w:t>
      </w:r>
    </w:p>
    <w:p>
      <w:pPr>
        <w:spacing w:after="140" w:before="0" w:line="320" w:lineRule="auto"/>
        <w:jc w:val="both"/>
      </w:pPr>
      <w:r>
        <w:rPr>
          <w:rFonts w:ascii="Open Sans" w:cs="Open Sans" w:eastAsia="Open Sans" w:hAnsi="Open Sans"/>
          <w:sz w:val="22"/>
          <w:szCs w:val="22"/>
        </w:rPr>
        <w:t xml:space="preserve">Las consecuencias de esta incomprensión son graves desde la perspectiva del acceso a la justicia: inasistencias a audiencias, rebeldías declaradas, plazos procesales vencidos sin actividad de la parte, incumplimientos de resoluciones por desconocimiento de su contenido, y en los casos más extremos, privaciones de libertad motivadas en la sola incomprensión de una cédula. Una persona que recibe una "cédula de notificación de la providencia que ordena su comparendo en los términos del art. 308 del CPPBA" difícilmente comprende que se le está citando a declarar como imputado, que tiene derecho a hacerse acompañar de un abogado defensor de su confianza, que puede negarse a declarar sin que ello implique consecuencia alguna, y que su incomparecencia puede acarrear su detención compulsiva.</w:t>
      </w:r>
    </w:p>
    <w:p>
      <w:pPr>
        <w:spacing w:after="140" w:before="0" w:line="320" w:lineRule="auto"/>
        <w:jc w:val="both"/>
      </w:pPr>
      <w:r>
        <w:rPr>
          <w:rFonts w:ascii="Open Sans" w:cs="Open Sans" w:eastAsia="Open Sans" w:hAnsi="Open Sans"/>
          <w:sz w:val="22"/>
          <w:szCs w:val="22"/>
        </w:rPr>
        <w:t xml:space="preserve">Estos efectos no son periféricos al sistema de justicia: son síntomas de su fracaso estructural en el cumplimiento de su función comunicacional primaria. La Guía de Buenas Prácticas para el Empleo de un Lenguaje Claro y Accesible de la Suprema Corte de Justicia de la Provincia de Buenos Aires (Res. SC 1131/26) señala expresamente que "la falta de comprensión del discurso judicial por parte de quienes intervienen en los distintos trámites contribuye a una mayor litigiosidad, debido a eventuales pedidos de reiteraciones o impugnaciones derivados de posibles errores interpretativos".</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2.  El lenguaje jurídico como barrera: una lectura lingüística</w:t>
      </w:r>
    </w:p>
    <w:p>
      <w:pPr>
        <w:spacing w:after="120" w:before="360"/>
      </w:pPr>
      <w:r>
        <w:rPr>
          <w:rFonts w:ascii="Montserrat" w:cs="Montserrat" w:eastAsia="Montserrat" w:hAnsi="Montserrat"/>
          <w:b/>
          <w:bCs/>
          <w:color w:val="003366"/>
          <w:sz w:val="40"/>
          <w:szCs w:val="40"/>
        </w:rPr>
        <w:t xml:space="preserve">2.1. El sistema semiótico cerrado del discurso judicial</w:t>
      </w:r>
    </w:p>
    <w:p>
      <w:pPr>
        <w:spacing w:after="140" w:before="0" w:line="320" w:lineRule="auto"/>
        <w:jc w:val="both"/>
      </w:pPr>
      <w:r>
        <w:rPr>
          <w:rFonts w:ascii="Open Sans" w:cs="Open Sans" w:eastAsia="Open Sans" w:hAnsi="Open Sans"/>
          <w:sz w:val="22"/>
          <w:szCs w:val="22"/>
        </w:rPr>
        <w:t xml:space="preserve">El lenguaje jurídico constituye, desde la perspectiva de la lingüística aplicada, un sistema semiótico con características propias que lo distinguen del lenguaje común: una sintaxis compleja con subordinaciones múltiples y periodos oracionales extensos; un léxico especializado que combina términos técnicos propios (latinismos, arcaísmos, denominaciones procesales) con términos del lenguaje común resignificados con alcance jurídico específico; una estructura discursiva formulaica que privilegia la seguridad jurídica sobre la comprensión; y una enunciación predominantemente impersonal que suprime la relación entre el emisor institucional y el receptor ciudadano.</w:t>
      </w:r>
    </w:p>
    <w:p>
      <w:pPr>
        <w:spacing w:after="140" w:before="0" w:line="320" w:lineRule="auto"/>
        <w:jc w:val="both"/>
      </w:pPr>
      <w:r>
        <w:rPr>
          <w:rFonts w:ascii="Open Sans" w:cs="Open Sans" w:eastAsia="Open Sans" w:hAnsi="Open Sans"/>
          <w:sz w:val="22"/>
          <w:szCs w:val="22"/>
        </w:rPr>
        <w:t xml:space="preserve">Estas características no son idiosincráticas de un mal uso del lenguaje: son funcionales al propósito de producir certeza jurídica, crear registro formal y delimitar con precisión el alcance de los actos procesales. El problema no es que el lenguaje jurídico sea técnico —toda especialidad requiere terminología específica— sino que el sistema ha operado durante siglos bajo el supuesto implícito de que los actos de notificación solo tienen como destinatarios reales a los letrados, y no a las personas que los documentos nombran como partes.</w:t>
      </w:r>
    </w:p>
    <w:p>
      <w:pPr>
        <w:spacing w:after="140" w:before="0" w:line="320" w:lineRule="auto"/>
        <w:jc w:val="both"/>
      </w:pPr>
      <w:r>
        <w:rPr>
          <w:rFonts w:ascii="Open Sans" w:cs="Open Sans" w:eastAsia="Open Sans" w:hAnsi="Open Sans"/>
          <w:sz w:val="22"/>
          <w:szCs w:val="22"/>
        </w:rPr>
        <w:t xml:space="preserve">La Guía de Buenas Prácticas (Res. SC 1131/26) describe este fenómeno con precisión: el discurso jurídico abunda en tecnicismos innecesarios y estructuras sintácticas complejas que oscurecen la comprensión de las personas destinatarias. El empleo de un lenguaje centrado en las posibilidades comprensivas de las personas destinatarias —y no en las convenciones del operador emisor— es, según la Guía, una condición de eficacia comunicacional y no una concesión estética.</w:t>
      </w:r>
    </w:p>
    <w:p>
      <w:pPr>
        <w:spacing w:after="120" w:before="360"/>
      </w:pPr>
      <w:r>
        <w:rPr>
          <w:rFonts w:ascii="Montserrat" w:cs="Montserrat" w:eastAsia="Montserrat" w:hAnsi="Montserrat"/>
          <w:b/>
          <w:bCs/>
          <w:color w:val="003366"/>
          <w:sz w:val="40"/>
          <w:szCs w:val="40"/>
        </w:rPr>
        <w:t xml:space="preserve">2.2. El movimiento de lenguaje claro y su proyección judicial</w:t>
      </w:r>
    </w:p>
    <w:p>
      <w:pPr>
        <w:spacing w:after="140" w:before="0" w:line="320" w:lineRule="auto"/>
        <w:jc w:val="both"/>
      </w:pPr>
      <w:r>
        <w:rPr>
          <w:rFonts w:ascii="Open Sans" w:cs="Open Sans" w:eastAsia="Open Sans" w:hAnsi="Open Sans"/>
          <w:sz w:val="22"/>
          <w:szCs w:val="22"/>
        </w:rPr>
        <w:t xml:space="preserve">El movimiento global de lenguaje claro (plain language) lleva décadas sosteniendo que los documentos oficiales deben ser redactados de manera que el destinatario pueda entender su contenido la primera vez que lo lee, sin necesidad de recurrir a intermediarios. Este postulado —aparentemente simple— implica una inversión radical del eje del esfuerzo comunicacional: en lugar de exigir al ciudadano que aprenda a descifrar el lenguaje del Estado, se exige al Estado que hable el lenguaje del ciudadano.</w:t>
      </w:r>
    </w:p>
    <w:p>
      <w:pPr>
        <w:spacing w:after="140" w:before="0" w:line="320" w:lineRule="auto"/>
        <w:jc w:val="both"/>
      </w:pPr>
      <w:r>
        <w:rPr>
          <w:rFonts w:ascii="Open Sans" w:cs="Open Sans" w:eastAsia="Open Sans" w:hAnsi="Open Sans"/>
          <w:sz w:val="22"/>
          <w:szCs w:val="22"/>
        </w:rPr>
        <w:t xml:space="preserve">La Guía de Buenas Prácticas identifica ocho principios para un mensaje comprensible en el ámbito judicial: claridad (sin ambigüedades ni tecnicismos innecesarios); accesibilidad y adecuación (adaptación a las condiciones de la persona destinataria); consistencia y coherencia (ordenamiento lógico y concatenado); integridad y congruencia (información completa, sin faltantes ni excesos); relevancia, economía expresiva y concisión; respeto y no discriminación; eficiencia expresiva con retroalimentación; y, especialmente para el caso de NotificAR Clara, multicanalidad.</w:t>
      </w:r>
    </w:p>
    <w:p>
      <w:pPr>
        <w:spacing w:after="140" w:before="0" w:line="320" w:lineRule="auto"/>
        <w:jc w:val="both"/>
      </w:pPr>
      <w:r>
        <w:rPr>
          <w:rFonts w:ascii="Open Sans" w:cs="Open Sans" w:eastAsia="Open Sans" w:hAnsi="Open Sans"/>
          <w:sz w:val="22"/>
          <w:szCs w:val="22"/>
        </w:rPr>
        <w:t xml:space="preserve">Este último principio reconoce que la comunicación ocurre por distintas vías —verbal, no verbal, paraverbal— y canales —escrito, oral, presencial, digital— y que la persona emisora debe elegir los medios y modos correctos para cada situación y destinatario. La notificación judicial tradicional opera en un único canal (el escrito formal), asumiendo implícitamente que todas las personas pueden y deben comprenderlo. La multicanalidad como principio de diseño comunicacional es, precisamente, la base teórica sobre la que se asienta NotificAR Clara.</w:t>
      </w:r>
    </w:p>
    <w:p>
      <w:pPr>
        <w:spacing w:after="140" w:before="0" w:line="320" w:lineRule="auto"/>
        <w:jc w:val="both"/>
      </w:pPr>
      <w:r>
        <w:rPr>
          <w:rFonts w:ascii="Open Sans" w:cs="Open Sans" w:eastAsia="Open Sans" w:hAnsi="Open Sans"/>
          <w:sz w:val="22"/>
          <w:szCs w:val="22"/>
        </w:rPr>
        <w:t xml:space="preserve">La adopción del lenguaje claro en el ámbito judicial no es una elección estética sino una exigencia ética y democrática. Las conclusiones de las sucesivas convenciones de la Red Panhispánica de Lenguaje Claro y Accesible enfatizan que la claridad es un presupuesto indispensable para el cumplimiento del debido proceso. No se puede ejercer una defensa efectiva si el acto de comunicación falla en su objetivo primario: que el destinatario comprenda no solo el "qué" (la decisión), sino el "cómo" y el "porqué" (los fundamentos y vías recursivas). El sistema judicial debe, por tanto, reducir la distancia semántica entre el emisor —el Poder Judicial— y el receptor —el ciudadano—, entendiendo que la técnica jurídica nunca debe ser una barrera para el acceso a la justicia.</w:t>
      </w:r>
    </w:p>
    <w:p>
      <w:pPr>
        <w:spacing w:after="120" w:before="360"/>
      </w:pPr>
      <w:r>
        <w:rPr>
          <w:rFonts w:ascii="Montserrat" w:cs="Montserrat" w:eastAsia="Montserrat" w:hAnsi="Montserrat"/>
          <w:b/>
          <w:bCs/>
          <w:color w:val="003366"/>
          <w:sz w:val="40"/>
          <w:szCs w:val="40"/>
        </w:rPr>
        <w:t xml:space="preserve">2.3. La función instrumental del lenguaje claro en la notificación judicial</w:t>
      </w:r>
    </w:p>
    <w:p>
      <w:pPr>
        <w:spacing w:after="140" w:before="0" w:line="320" w:lineRule="auto"/>
        <w:jc w:val="both"/>
      </w:pPr>
      <w:r>
        <w:rPr>
          <w:rFonts w:ascii="Open Sans" w:cs="Open Sans" w:eastAsia="Open Sans" w:hAnsi="Open Sans"/>
          <w:sz w:val="22"/>
          <w:szCs w:val="22"/>
        </w:rPr>
        <w:t xml:space="preserve">La notificación judicial cumple, en el sistema procesal, una función operativa o prescriptiva: hace requerimientos, impone obligaciones, otorga plazos, habilita recursos. Para que esta función pueda desplegarse con eficacia, la persona destinataria debe poder responder al mensaje: comparecer, recurrir, cumplir, resistir. Pero la capacidad de respuesta presupone la comprensión del mensaje. Si el acto de comunicación fracasa, el acto procesal es una cáscara vacía: formalmente válido, jurídicamente existente, pero funcionalmente inoperante para quien lo recibe.</w:t>
      </w:r>
    </w:p>
    <w:p>
      <w:pPr>
        <w:spacing w:after="140" w:before="0" w:line="320" w:lineRule="auto"/>
        <w:jc w:val="both"/>
      </w:pPr>
      <w:r>
        <w:rPr>
          <w:rFonts w:ascii="Open Sans" w:cs="Open Sans" w:eastAsia="Open Sans" w:hAnsi="Open Sans"/>
          <w:sz w:val="22"/>
          <w:szCs w:val="22"/>
        </w:rPr>
        <w:t xml:space="preserve">La Guía (Res. SC 1131/26) señala que "el empleo de un lenguaje centrado en las posibilidades comprensivas de las personas destinatarias garantiza que toda persona pueda recibir, comprender y utilizar la información sin limitaciones". Esta formulación tiene un correlato procesal directo: la notificación que no es comprendida no puede ser utilizada. Y la notificación que no puede ser utilizada es una garantía formal sin contenido real.</w:t>
      </w:r>
    </w:p>
    <w:p>
      <w:pPr>
        <w:spacing w:after="140" w:before="0" w:line="320" w:lineRule="auto"/>
        <w:jc w:val="both"/>
      </w:pPr>
      <w:r>
        <w:rPr>
          <w:rFonts w:ascii="Open Sans" w:cs="Open Sans" w:eastAsia="Open Sans" w:hAnsi="Open Sans"/>
          <w:sz w:val="22"/>
          <w:szCs w:val="22"/>
        </w:rPr>
        <w:t xml:space="preserve">En este contexto, la traducción al lenguaje claro que ofrece NotificAR Clara no es un suplemento optativo del documento judicial: es el complemento comunicacional que el documento necesita para cumplir su función constitucional. El sistema no reemplaza la notificación formal —que conserva íntegramente su validez jurídica— sino que añade la capa de comprensión que el destinatario requiere para ejercer sus derechos.</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3.  Desigualdad ante la justicia: una lectura sociológica</w:t>
      </w:r>
    </w:p>
    <w:p>
      <w:pPr>
        <w:spacing w:after="120" w:before="360"/>
      </w:pPr>
      <w:r>
        <w:rPr>
          <w:rFonts w:ascii="Montserrat" w:cs="Montserrat" w:eastAsia="Montserrat" w:hAnsi="Montserrat"/>
          <w:b/>
          <w:bCs/>
          <w:color w:val="003366"/>
          <w:sz w:val="40"/>
          <w:szCs w:val="40"/>
        </w:rPr>
        <w:t xml:space="preserve">3.1. La brecha de comprensión como reproducción de la desigualdad</w:t>
      </w:r>
    </w:p>
    <w:p>
      <w:pPr>
        <w:spacing w:after="140" w:before="0" w:line="320" w:lineRule="auto"/>
        <w:jc w:val="both"/>
      </w:pPr>
      <w:r>
        <w:rPr>
          <w:rFonts w:ascii="Open Sans" w:cs="Open Sans" w:eastAsia="Open Sans" w:hAnsi="Open Sans"/>
          <w:sz w:val="22"/>
          <w:szCs w:val="22"/>
        </w:rPr>
        <w:t xml:space="preserve">La incapacidad de comprender el lenguaje judicial no está distribuida de manera homogénea en la población. Se concentra, de manera sistemática, en los sectores con menor nivel educativo formal, en las personas que atraviesan situaciones de estrés o trauma (víctimas de delitos, imputados detenidos, partes en procesos de familia en crisis), en las personas mayores que enfrentan barreras cognitivas o tecnológicas, en los niños, niñas y adolescentes, en las personas con discapacidad, y en quienes pertenecen a comunidades con barreras culturales o idiomáticas.</w:t>
      </w:r>
    </w:p>
    <w:p>
      <w:pPr>
        <w:spacing w:after="140" w:before="0" w:line="320" w:lineRule="auto"/>
        <w:jc w:val="both"/>
      </w:pPr>
      <w:r>
        <w:rPr>
          <w:rFonts w:ascii="Open Sans" w:cs="Open Sans" w:eastAsia="Open Sans" w:hAnsi="Open Sans"/>
          <w:sz w:val="22"/>
          <w:szCs w:val="22"/>
        </w:rPr>
        <w:t xml:space="preserve">Esta distribución no es casual: reproduce y amplifica las desigualdades estructurales de la sociedad. El sistema de justicia, que debería ser el último recurso igualador, actúa en este plano como un amplificador de la desventaja social: quienes tienen menos recursos simbólicos para comprender sus derechos procesales son también quienes tienen menos acceso a intermediarios capaces de explicárselos. La persona con recursos puede consultar a su abogado de confianza; la persona sin recursos recibe la cédula, no la entiende, y no sabe qué hacer.</w:t>
      </w:r>
    </w:p>
    <w:p>
      <w:pPr>
        <w:spacing w:after="140" w:before="0" w:line="320" w:lineRule="auto"/>
        <w:jc w:val="both"/>
      </w:pPr>
      <w:r>
        <w:rPr>
          <w:rFonts w:ascii="Open Sans" w:cs="Open Sans" w:eastAsia="Open Sans" w:hAnsi="Open Sans"/>
          <w:sz w:val="22"/>
          <w:szCs w:val="22"/>
        </w:rPr>
        <w:t xml:space="preserve">Las Reglas de Brasilia sobre el Acceso a la Justicia de las Personas en Condición de Vulnerabilidad (versión 2018) reconocen esta dinámica al definir como personas en condición de vulnerabilidad a "aquellas personas que, debido a su edad, género, estado físico o mental, o por circunstancias sociales, económicas, étnicas y/o culturales, encuentran especiales dificultades para ejercitar con plenitud sus derechos ante el sistema de justicia" (Regla 3). La condición de vulnerabilidad no es una característica fija de la persona sino el resultado de la interacción entre sus condiciones personales y las barreras que el sistema impone.</w:t>
      </w:r>
    </w:p>
    <w:p>
      <w:pPr>
        <w:spacing w:after="120" w:before="360"/>
      </w:pPr>
      <w:r>
        <w:rPr>
          <w:rFonts w:ascii="Montserrat" w:cs="Montserrat" w:eastAsia="Montserrat" w:hAnsi="Montserrat"/>
          <w:b/>
          <w:bCs/>
          <w:color w:val="003366"/>
          <w:sz w:val="40"/>
          <w:szCs w:val="40"/>
        </w:rPr>
        <w:t xml:space="preserve">3.2. El derecho a comprender como condición del ejercicio ciudadano</w:t>
      </w:r>
    </w:p>
    <w:p>
      <w:pPr>
        <w:spacing w:after="140" w:before="0" w:line="320" w:lineRule="auto"/>
        <w:jc w:val="both"/>
      </w:pPr>
      <w:r>
        <w:rPr>
          <w:rFonts w:ascii="Open Sans" w:cs="Open Sans" w:eastAsia="Open Sans" w:hAnsi="Open Sans"/>
          <w:sz w:val="22"/>
          <w:szCs w:val="22"/>
        </w:rPr>
        <w:t xml:space="preserve">La sociología jurídica ha señalado desde hace tiempo que el acceso a la justicia no es solo acceso al proceso formal sino acceso a la comprensión de los derechos, a la capacidad de demandarlos y a la posibilidad de beneficiarse de las resoluciones. Un sistema que comunica sus actos en un lenguaje ininteligible para sus destinatarios produce, en los hechos, la exclusión de esas personas del ejercicio ciudadano ante la justicia.</w:t>
      </w:r>
    </w:p>
    <w:p>
      <w:pPr>
        <w:spacing w:after="140" w:before="0" w:line="320" w:lineRule="auto"/>
        <w:jc w:val="both"/>
      </w:pPr>
      <w:r>
        <w:rPr>
          <w:rFonts w:ascii="Open Sans" w:cs="Open Sans" w:eastAsia="Open Sans" w:hAnsi="Open Sans"/>
          <w:sz w:val="22"/>
          <w:szCs w:val="22"/>
        </w:rPr>
        <w:t xml:space="preserve">La Guía de Buenas Prácticas (Res. SC 1131/26) fundamenta el derecho a comprender en el sistema republicano de gobierno: "no basta con que los actos estatales se hagan formalmente públicos, sino que resulta necesario que estén expresados en un lenguaje claro y accesible que permita que la ciudadanía pueda comprender sus fundamentos, contenido y finalidades, para lograr desenvolverse con plenitud en el marco del pleno goce y ejercicio de sus derechos". La publicidad formal sin comprensión real es una garantía vacía.</w:t>
      </w:r>
    </w:p>
    <w:p>
      <w:pPr>
        <w:spacing w:after="140" w:before="0" w:line="320" w:lineRule="auto"/>
        <w:jc w:val="both"/>
      </w:pPr>
      <w:r>
        <w:rPr>
          <w:rFonts w:ascii="Open Sans" w:cs="Open Sans" w:eastAsia="Open Sans" w:hAnsi="Open Sans"/>
          <w:sz w:val="22"/>
          <w:szCs w:val="22"/>
        </w:rPr>
        <w:t xml:space="preserve">En igual sentido, la Corte Interamericana de Derechos Humanos ha sostenido que el Estado debe encontrarse regido por los principios de publicidad y transparencia que hacen posible que las personas "ejerzan el control democrático de las gestiones estatales, de forma tal que puedan cuestionar, indagar y considerar si se está dando un adecuado cumplimiento de las funciones públicas" (CIDH, "Claude Reyes y otros vs. Chile", 2006). Un discurso estatal oscuro, excesivamente formal o con tecnicismos atenta contra la confianza y la credibilidad de la ciudadanía en las instituciones.</w:t>
      </w:r>
    </w:p>
    <w:p>
      <w:pPr>
        <w:spacing w:after="120" w:before="360"/>
      </w:pPr>
      <w:r>
        <w:rPr>
          <w:rFonts w:ascii="Montserrat" w:cs="Montserrat" w:eastAsia="Montserrat" w:hAnsi="Montserrat"/>
          <w:b/>
          <w:bCs/>
          <w:color w:val="003366"/>
          <w:sz w:val="40"/>
          <w:szCs w:val="40"/>
        </w:rPr>
        <w:t xml:space="preserve">3.3. La vulnerabilidad como contexto: cuándo la notificación llega a personas en crisis</w:t>
      </w:r>
    </w:p>
    <w:p>
      <w:pPr>
        <w:spacing w:after="140" w:before="0" w:line="320" w:lineRule="auto"/>
        <w:jc w:val="both"/>
      </w:pPr>
      <w:r>
        <w:rPr>
          <w:rFonts w:ascii="Open Sans" w:cs="Open Sans" w:eastAsia="Open Sans" w:hAnsi="Open Sans"/>
          <w:sz w:val="22"/>
          <w:szCs w:val="22"/>
        </w:rPr>
        <w:t xml:space="preserve">Hay una dimensión subjetiva de la incomprensión que los análisis puramente formales suelen ignorar: la notificación judicial generalmente llega a personas que ya se encuentran en una situación de estrés, angustia o desorganización. El imputado que recibe la cédula tiene miedo. La víctima que es convocada a audiencia está reviviendo un trauma. El deudor alimentario tiene vergüenza. El testigo no sabe qué significa ser testigo. La persona mayor que recibe una resolución judicial en un proceso que no entiende está asustada y sola.</w:t>
      </w:r>
    </w:p>
    <w:p>
      <w:pPr>
        <w:spacing w:after="140" w:before="0" w:line="320" w:lineRule="auto"/>
        <w:jc w:val="both"/>
      </w:pPr>
      <w:r>
        <w:rPr>
          <w:rFonts w:ascii="Open Sans" w:cs="Open Sans" w:eastAsia="Open Sans" w:hAnsi="Open Sans"/>
          <w:sz w:val="22"/>
          <w:szCs w:val="22"/>
        </w:rPr>
        <w:t xml:space="preserve">Esta dimensión emocional y contextual del acto de recepción de una notificación judicial es sociológicamente relevante: la comprensión no ocurre en condiciones de neutralidad cognitiva. Ocurre (o fracasa) en contextos de alta carga emocional que afectan directamente la capacidad de procesar información compleja. La Guía para Escuchar a Niños, Niñas y Adolescentes en el Proceso Judicial (SCBA) señala que el entorno judicial genera ansiedad y miedo, y que la comunicación debe diseñarse para reducir esa carga emocional y facilitar la participación activa. Esta observación, formulada respecto de NNA, es extensible a toda persona en condición de vulnerabilidad.</w:t>
      </w:r>
    </w:p>
    <w:p>
      <w:pPr>
        <w:spacing w:after="140" w:before="0" w:line="320" w:lineRule="auto"/>
        <w:jc w:val="both"/>
      </w:pPr>
      <w:r>
        <w:rPr>
          <w:rFonts w:ascii="Open Sans" w:cs="Open Sans" w:eastAsia="Open Sans" w:hAnsi="Open Sans"/>
          <w:sz w:val="22"/>
          <w:szCs w:val="22"/>
        </w:rPr>
        <w:t xml:space="preserve">NotificAR Clara reconoce esta dimensión en su diseño: el video introductorio de Clara comienza con una frase de reconocimiento ("Hola. Recibiste una notificación judicial y es probable que haya cosas que necesites que te expliquen"), que normaliza la situación de no-comprensión y reduce la carga de vergüenza o miedo asociada a no entender un documento oficial. Esta decisión no es solo de usabilidad: es de diseño sociológicamente informado.</w:t>
      </w:r>
    </w:p>
    <w:p>
      <w:pPr>
        <w:spacing w:after="120" w:before="360"/>
      </w:pPr>
      <w:r>
        <w:rPr>
          <w:rFonts w:ascii="Montserrat" w:cs="Montserrat" w:eastAsia="Montserrat" w:hAnsi="Montserrat"/>
          <w:b/>
          <w:bCs/>
          <w:color w:val="003366"/>
          <w:sz w:val="40"/>
          <w:szCs w:val="40"/>
        </w:rPr>
        <w:t xml:space="preserve">3.4. El acompañamiento como derecho y como práctica</w:t>
      </w:r>
    </w:p>
    <w:p>
      <w:pPr>
        <w:spacing w:after="140" w:before="0" w:line="320" w:lineRule="auto"/>
        <w:jc w:val="both"/>
      </w:pPr>
      <w:r>
        <w:rPr>
          <w:rFonts w:ascii="Open Sans" w:cs="Open Sans" w:eastAsia="Open Sans" w:hAnsi="Open Sans"/>
          <w:sz w:val="22"/>
          <w:szCs w:val="22"/>
        </w:rPr>
        <w:t xml:space="preserve">Una respuesta sociológicamente consistente a la situación de vulnerabilidad en los procesos judiciales es el reconocimiento del derecho a concurrir acompañado. Las personas en condición de vulnerabilidad —adultos mayores, personas con discapacidad, NNA, víctimas— no deberían enfrentar el sistema judicial en soledad. El acompañamiento de una persona de confianza no es un privilegio: es una herramienta de igualación que permite que la persona pueda procesar información, tomar decisiones y ejercer sus derechos con mayor autonomía real.</w:t>
      </w:r>
    </w:p>
    <w:p>
      <w:pPr>
        <w:spacing w:after="140" w:before="0" w:line="320" w:lineRule="auto"/>
        <w:jc w:val="both"/>
      </w:pPr>
      <w:r>
        <w:rPr>
          <w:rFonts w:ascii="Open Sans" w:cs="Open Sans" w:eastAsia="Open Sans" w:hAnsi="Open Sans"/>
          <w:sz w:val="22"/>
          <w:szCs w:val="22"/>
        </w:rPr>
        <w:t xml:space="preserve">La Guía de Buenas Prácticas para el Acceso a la Justicia de las Personas con Discapacidad (SCBA) reconoce el sistema de apoyos como parte de la protección de la autonomía individual, conforme al art. 43 del Código Civil y Comercial. La Guía para Escuchar a NNA (SCBA) recomienda evaluar, en cada caso, "la posibilidad de ofrecer que se concurra a la entrevista en compañía de otra persona de confianza del niño, niña o adolescente si es que ello facilita su participación". NotificAR Clara traduce este derecho en una funcionalidad concreta: para personas con discapacidad y adultos mayores, la notificación incluye un aviso destacado del derecho a concurrir acompañado de una persona de apoyo.</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4.  Marco normativo: acceso a la justicia, lenguaje claro y ajustes razonables</w:t>
      </w:r>
    </w:p>
    <w:p>
      <w:pPr>
        <w:spacing w:after="120" w:before="360"/>
      </w:pPr>
      <w:r>
        <w:rPr>
          <w:rFonts w:ascii="Montserrat" w:cs="Montserrat" w:eastAsia="Montserrat" w:hAnsi="Montserrat"/>
          <w:b/>
          <w:bCs/>
          <w:color w:val="003366"/>
          <w:sz w:val="40"/>
          <w:szCs w:val="40"/>
        </w:rPr>
        <w:t xml:space="preserve">4.1. El acceso a la justicia como derecho fundamental</w:t>
      </w:r>
    </w:p>
    <w:p>
      <w:pPr>
        <w:spacing w:after="140" w:before="0" w:line="320" w:lineRule="auto"/>
        <w:jc w:val="both"/>
      </w:pPr>
      <w:r>
        <w:rPr>
          <w:rFonts w:ascii="Open Sans" w:cs="Open Sans" w:eastAsia="Open Sans" w:hAnsi="Open Sans"/>
          <w:sz w:val="22"/>
          <w:szCs w:val="22"/>
        </w:rPr>
        <w:t xml:space="preserve">El acceso a la justicia es un derecho reconocido en los instrumentos internacionales de derechos humanos con jerarquía constitucional en la Argentina. La Convención Americana sobre Derechos Humanos (art. 8) garantiza el derecho de toda persona a ser oída, con las debidas garantías, por un juez o tribunal competente. El Pacto Internacional de Derechos Civiles y Políticos (art. 14) consagra el derecho a un juicio justo. La Constitución Nacional Argentina, en su art. 18, establece que nadie puede ser penado sin juicio previo fundado en ley anterior al hecho del proceso. La Constitución de la Provincia de Buenos Aires, en su art. 36, establece que la provincia promoverá la eliminación de los obstáculos de cualquier naturaleza que afecten o impidan el ejercicio de los derechos y garantías constitucionales.</w:t>
      </w:r>
    </w:p>
    <w:p>
      <w:pPr>
        <w:spacing w:after="140" w:before="0" w:line="320" w:lineRule="auto"/>
        <w:jc w:val="both"/>
      </w:pPr>
      <w:r>
        <w:rPr>
          <w:rFonts w:ascii="Open Sans" w:cs="Open Sans" w:eastAsia="Open Sans" w:hAnsi="Open Sans"/>
          <w:sz w:val="22"/>
          <w:szCs w:val="22"/>
        </w:rPr>
        <w:t xml:space="preserve">Estas garantías son meramente formales si la persona no comprende qué se le está comunicando, qué derechos tiene y qué consecuencias se derivan de cada acto procesal. La comprensión efectiva de las notificaciones es, por tanto, un presupuesto del ejercicio real del derecho de defensa y del debido proceso. La CIDH ha señalado que "el derecho de las personas a ser oídas con las debidas garantías aplica a todas las instancias procesales, a efectos de que estas estén en condiciones de poder defender adecuadamente sus derechos" ("Baena, Ricardo y otros vs. Panamá", 2001). Defender adecuadamente los derechos requiere, como condición previa, comprender cuáles son y cómo ejercerlos.</w:t>
      </w:r>
    </w:p>
    <w:p>
      <w:pPr>
        <w:spacing w:after="120" w:before="360"/>
      </w:pPr>
      <w:r>
        <w:rPr>
          <w:rFonts w:ascii="Montserrat" w:cs="Montserrat" w:eastAsia="Montserrat" w:hAnsi="Montserrat"/>
          <w:b/>
          <w:bCs/>
          <w:color w:val="003366"/>
          <w:sz w:val="40"/>
          <w:szCs w:val="40"/>
        </w:rPr>
        <w:t xml:space="preserve">4.2. El lenguaje claro como exigencia normativa provincial</w:t>
      </w:r>
    </w:p>
    <w:p>
      <w:pPr>
        <w:spacing w:after="140" w:before="0" w:line="320" w:lineRule="auto"/>
        <w:jc w:val="both"/>
      </w:pPr>
      <w:r>
        <w:rPr>
          <w:rFonts w:ascii="Open Sans" w:cs="Open Sans" w:eastAsia="Open Sans" w:hAnsi="Open Sans"/>
          <w:sz w:val="22"/>
          <w:szCs w:val="22"/>
        </w:rPr>
        <w:t xml:space="preserve">La Ley Provincial 15.184 reconoce expresamente el derecho de la ciudadanía a comprender la información pública e impone la obligatoriedad de la utilización de un lenguaje claro y accesible en todas las comunicaciones y publicaciones emitidas por los tres poderes del Estado provincial. La norma define que un documento estará formulado en lenguaje claro si "la persona destinataria puede encontrar lo que necesita, entender la información de manera rápida y usarla para tomar decisiones y satisfacer sus necesidades" (art. 2).</w:t>
      </w:r>
    </w:p>
    <w:p>
      <w:pPr>
        <w:spacing w:after="140" w:before="0" w:line="320" w:lineRule="auto"/>
        <w:jc w:val="both"/>
      </w:pPr>
      <w:r>
        <w:rPr>
          <w:rFonts w:ascii="Open Sans" w:cs="Open Sans" w:eastAsia="Open Sans" w:hAnsi="Open Sans"/>
          <w:sz w:val="22"/>
          <w:szCs w:val="22"/>
        </w:rPr>
        <w:t xml:space="preserve">La Guía de Buenas Prácticas para el Empleo de un Lenguaje Claro y Accesible (Res. SC 1131/26) concreta estas obligaciones en el ámbito judicial. Su Introducción señala que la claridad y la accesibilidad son características necesarias del discurso jurídico "para que las personas puedan participar de manera útil en los trámites judiciales, comprender de modo sencillo los fundamentos, contenidos y finalidades de todo mensaje que se les transmita, más aún cuando este pueda afectar el pleno goce y ejercicio de sus derechos fundamentales, y decidir y obrar ulteriormente de conformidad con la información recibida".</w:t>
      </w:r>
    </w:p>
    <w:p>
      <w:pPr>
        <w:spacing w:after="140" w:before="0" w:line="320" w:lineRule="auto"/>
        <w:jc w:val="both"/>
      </w:pPr>
      <w:r>
        <w:rPr>
          <w:rFonts w:ascii="Open Sans" w:cs="Open Sans" w:eastAsia="Open Sans" w:hAnsi="Open Sans"/>
          <w:sz w:val="22"/>
          <w:szCs w:val="22"/>
        </w:rPr>
        <w:t xml:space="preserve">La XVIII Cumbre Judicial Iberoamericana expresó, en la Declaración de Asunción, que "la legitimidad de la judicatura está ligada a la claridad y calidad de las resoluciones judiciales y que con tal fin es esencial el uso de un lenguaje claro, inclusivo y no discriminatorio en las resoluciones judiciales y una argumentación fácilmente comprensible". Este estándar internacional refuerza la perspectiva provincial: la claridad no es un ornamento del acto judicial sino un componente de su legitimidad democrática.</w:t>
      </w:r>
    </w:p>
    <w:p>
      <w:pPr>
        <w:spacing w:after="120" w:before="360"/>
      </w:pPr>
      <w:r>
        <w:rPr>
          <w:rFonts w:ascii="Montserrat" w:cs="Montserrat" w:eastAsia="Montserrat" w:hAnsi="Montserrat"/>
          <w:b/>
          <w:bCs/>
          <w:color w:val="003366"/>
          <w:sz w:val="40"/>
          <w:szCs w:val="40"/>
        </w:rPr>
        <w:t xml:space="preserve">4.3. La CDPD y el modelo social de la discapacidad</w:t>
      </w:r>
    </w:p>
    <w:p>
      <w:pPr>
        <w:spacing w:after="140" w:before="0" w:line="320" w:lineRule="auto"/>
        <w:jc w:val="both"/>
      </w:pPr>
      <w:r>
        <w:rPr>
          <w:rFonts w:ascii="Open Sans" w:cs="Open Sans" w:eastAsia="Open Sans" w:hAnsi="Open Sans"/>
          <w:sz w:val="22"/>
          <w:szCs w:val="22"/>
        </w:rPr>
        <w:t xml:space="preserve">La Convención sobre los Derechos de las Personas con Discapacidad (CDPD), con rango constitucional en la Argentina mediante la Ley 27.044, opera sobre el modelo social de la discapacidad: esta no se define por la presencia de una deficiencia física, mental, intelectual o sensorial, sino por la interacción entre esas deficiencias y las barreras que socialmente existen para que las personas puedan participar y ejercer sus derechos de manera efectiva. Así lo ha sostenido la CIDH en los casos "Guachalá Chimbó vs. Ecuador" (2021) y "Chinchilla Sandoval vs. Guatemala" (2016).</w:t>
      </w:r>
    </w:p>
    <w:p>
      <w:pPr>
        <w:spacing w:after="140" w:before="0" w:line="320" w:lineRule="auto"/>
        <w:jc w:val="both"/>
      </w:pPr>
      <w:r>
        <w:rPr>
          <w:rFonts w:ascii="Open Sans" w:cs="Open Sans" w:eastAsia="Open Sans" w:hAnsi="Open Sans"/>
          <w:sz w:val="22"/>
          <w:szCs w:val="22"/>
        </w:rPr>
        <w:t xml:space="preserve">La Guía de Buenas Prácticas para el Acceso a la Justicia de las Personas con Discapacidad (SCBA) sostiene, siguiendo este modelo, que las barreras que enfrentan las personas con discapacidad en el sistema de justicia son de origen diverso: informativas, arquitectónicas, comunicacionales, tecnológicas, de movilidad, formalistas, socioeconómicas y actitudinales. Cada una de estas barreras es susceptible de ser identificada, nombrada y removida mediante medidas afirmativas y ajustes de procedimiento. La notificación judicial inaccesible —incomprensible para quien la recibe— es, en este marco, una barrera comunicacional que el Estado tiene la obligación de eliminar.</w:t>
      </w:r>
    </w:p>
    <w:p>
      <w:pPr>
        <w:spacing w:after="140" w:before="0" w:line="320" w:lineRule="auto"/>
        <w:jc w:val="both"/>
      </w:pPr>
      <w:r>
        <w:rPr>
          <w:rFonts w:ascii="Open Sans" w:cs="Open Sans" w:eastAsia="Open Sans" w:hAnsi="Open Sans"/>
          <w:sz w:val="22"/>
          <w:szCs w:val="22"/>
        </w:rPr>
        <w:t xml:space="preserve">La Convención establece en su art. 13 la obligación de los Estados de asegurar el acceso efectivo de las personas con discapacidad a la justicia, incluso mediante ajustes de procedimiento. Estos ajustes son, en terminología convencional, modificaciones y adaptaciones necesarias y adecuadas que no impongan una carga desproporcionada, cuando se requieran en casos particulares, para garantizar a las personas con discapacidad el goce o ejercicio de sus derechos. NotificAR Clara implementa ajustes de este tipo a escala sistémica: no como respuestas ad hoc a situaciones individuales, sino como funcionalidades incorporadas al flujo ordinario de la notificación judicial.</w:t>
      </w:r>
    </w:p>
    <w:p>
      <w:pPr>
        <w:spacing w:after="120" w:before="360"/>
      </w:pPr>
      <w:r>
        <w:rPr>
          <w:rFonts w:ascii="Montserrat" w:cs="Montserrat" w:eastAsia="Montserrat" w:hAnsi="Montserrat"/>
          <w:b/>
          <w:bCs/>
          <w:color w:val="003366"/>
          <w:sz w:val="40"/>
          <w:szCs w:val="40"/>
        </w:rPr>
        <w:t xml:space="preserve">4.4. Las Reglas de Brasilia y el estándar de actuación judicial</w:t>
      </w:r>
    </w:p>
    <w:p>
      <w:pPr>
        <w:spacing w:after="140" w:before="0" w:line="320" w:lineRule="auto"/>
        <w:jc w:val="both"/>
      </w:pPr>
      <w:r>
        <w:rPr>
          <w:rFonts w:ascii="Open Sans" w:cs="Open Sans" w:eastAsia="Open Sans" w:hAnsi="Open Sans"/>
          <w:sz w:val="22"/>
          <w:szCs w:val="22"/>
        </w:rPr>
        <w:t xml:space="preserve">Las Reglas de Brasilia sobre el Acceso a la Justicia de las Personas en Condición de Vulnerabilidad (XIV Cumbre Judicial Iberoamericana, 2008, revisadas en 2018) establecen que "toda persona en condición de vulnerabilidad tiene el derecho a entender y ser entendida" (Regla 58). De esta regla se derivan obligaciones concretas para los operadores judiciales: en las notificaciones y requerimientos "se deben usar términos y estructuras gramaticales simples y comprensibles, que respondan a las necesidades particulares de las personas en condición de vulnerabilidad" (Regla 59); en las resoluciones judiciales "se deben emplear términos y construcciones sintácticas sencillas, sin perjuicio de su rigor técnico" (Regla 60); y "se deben fomentar los mecanismos necesarios para que la persona en condición de vulnerabilidad comprenda los juicios, vistas, comparecencias y otras actuaciones judiciales orales en las que participe" (Regla 61).</w:t>
      </w:r>
    </w:p>
    <w:p>
      <w:pPr>
        <w:spacing w:after="140" w:before="0" w:line="320" w:lineRule="auto"/>
        <w:jc w:val="both"/>
      </w:pPr>
      <w:r>
        <w:rPr>
          <w:rFonts w:ascii="Open Sans" w:cs="Open Sans" w:eastAsia="Open Sans" w:hAnsi="Open Sans"/>
          <w:sz w:val="22"/>
          <w:szCs w:val="22"/>
        </w:rPr>
        <w:t xml:space="preserve">Estas reglas son de aplicación directa en el ámbito de la Provincia de Buenos Aires. NotificAR Clara opera precisamente como el "mecanismo" al que refiere la Regla 61: un sistema que asegura que la persona en condición de vulnerabilidad comprenda, de manera efectiva, el contenido y consecuencias del acto procesal del que es destinataria.</w:t>
      </w:r>
    </w:p>
    <w:p>
      <w:pPr>
        <w:spacing w:after="120" w:before="360"/>
      </w:pPr>
      <w:r>
        <w:rPr>
          <w:rFonts w:ascii="Montserrat" w:cs="Montserrat" w:eastAsia="Montserrat" w:hAnsi="Montserrat"/>
          <w:b/>
          <w:bCs/>
          <w:color w:val="003366"/>
          <w:sz w:val="40"/>
          <w:szCs w:val="40"/>
        </w:rPr>
        <w:t xml:space="preserve">4.5. Vulnerabilidades específicas: NNA, Adultos Mayores y Género</w:t>
      </w:r>
    </w:p>
    <w:p>
      <w:pPr>
        <w:spacing w:after="80" w:before="240"/>
      </w:pPr>
      <w:r>
        <w:rPr>
          <w:rFonts w:ascii="Montserrat" w:cs="Montserrat" w:eastAsia="Montserrat" w:hAnsi="Montserrat"/>
          <w:b/>
          <w:bCs/>
          <w:color w:val="003366"/>
          <w:sz w:val="28"/>
          <w:szCs w:val="28"/>
        </w:rPr>
        <w:t xml:space="preserve">Niños, Niñas y Adolescentes</w:t>
      </w:r>
    </w:p>
    <w:p>
      <w:pPr>
        <w:spacing w:after="140" w:before="0" w:line="320" w:lineRule="auto"/>
        <w:jc w:val="both"/>
      </w:pPr>
      <w:r>
        <w:rPr>
          <w:rFonts w:ascii="Open Sans" w:cs="Open Sans" w:eastAsia="Open Sans" w:hAnsi="Open Sans"/>
          <w:sz w:val="22"/>
          <w:szCs w:val="22"/>
        </w:rPr>
        <w:t xml:space="preserve">La Convención sobre los Derechos del Niño (CDN), en su artículo 12, consagra el derecho del niño a expresar su opinión libremente y a ser escuchado en todo procedimiento judicial que lo afecte. Este derecho es inejecutable si la comunicación no está adaptada a la etapa evolutiva del NNA. La Guía para Escuchar a NNA en el Proceso Judicial (SCBA) señala que la citación debe considerar las características individuales de la persona convocada —edad, madurez, posibles discapacidades— y que la comunicación debe realizarse "siempre con lenguaje claro". La Guía recomienda, además, definir previamente si la entrevista será presencial o telemática en función de las circunstancias personales del NNA, y organizar el ambiente para que resulte cómodo e invitante a la expresión libre.</w:t>
      </w:r>
    </w:p>
    <w:p>
      <w:pPr>
        <w:spacing w:after="140" w:before="0" w:line="320" w:lineRule="auto"/>
        <w:jc w:val="both"/>
      </w:pPr>
      <w:r>
        <w:rPr>
          <w:rFonts w:ascii="Open Sans" w:cs="Open Sans" w:eastAsia="Open Sans" w:hAnsi="Open Sans"/>
          <w:sz w:val="22"/>
          <w:szCs w:val="22"/>
        </w:rPr>
        <w:t xml:space="preserve">NotificAR Clara contempla tipos de destinatario diferenciados por franja etaria (NNA 0-6, NNA 7-12, NNA 13-17), generando explicaciones adaptadas a cada etapa, en consonancia con la Ley 26.061 de Protección Integral de los Derechos de las Niñas, Niños y Adolescentes.</w:t>
      </w:r>
    </w:p>
    <w:p>
      <w:pPr>
        <w:spacing w:after="80" w:before="240"/>
      </w:pPr>
      <w:r>
        <w:rPr>
          <w:rFonts w:ascii="Montserrat" w:cs="Montserrat" w:eastAsia="Montserrat" w:hAnsi="Montserrat"/>
          <w:b/>
          <w:bCs/>
          <w:color w:val="003366"/>
          <w:sz w:val="28"/>
          <w:szCs w:val="28"/>
        </w:rPr>
        <w:t xml:space="preserve">Personas Mayores</w:t>
      </w:r>
    </w:p>
    <w:p>
      <w:pPr>
        <w:spacing w:after="140" w:before="0" w:line="320" w:lineRule="auto"/>
        <w:jc w:val="both"/>
      </w:pPr>
      <w:r>
        <w:rPr>
          <w:rFonts w:ascii="Open Sans" w:cs="Open Sans" w:eastAsia="Open Sans" w:hAnsi="Open Sans"/>
          <w:sz w:val="22"/>
          <w:szCs w:val="22"/>
        </w:rPr>
        <w:t xml:space="preserve">La Convención Interamericana sobre la Protección de los Derechos Humanos de las Personas Mayores, ratificada por Argentina, establece en sus artículos 30 y 31 el derecho y las garantías que deben contemplar los Estados a fin de que el acceso a la justicia sea efectivo y en condición de igualdad con el resto de los ciudadanos. La Guía de Buenas Prácticas para el Acceso a la Justicia de las Personas Mayores (SCBA) parte de reconocer que el envejecimiento en sí mismo no implica pérdida de capacidad jurídica, pero sí impone al Estado la obligación de remover los obstáculos —comunicacionales, tecnológicos, arquitectónicos— que dificultan el ejercicio de la autonomía.</w:t>
      </w:r>
    </w:p>
    <w:p>
      <w:pPr>
        <w:spacing w:after="140" w:before="0" w:line="320" w:lineRule="auto"/>
        <w:jc w:val="both"/>
      </w:pPr>
      <w:r>
        <w:rPr>
          <w:rFonts w:ascii="Open Sans" w:cs="Open Sans" w:eastAsia="Open Sans" w:hAnsi="Open Sans"/>
          <w:sz w:val="22"/>
          <w:szCs w:val="22"/>
        </w:rPr>
        <w:t xml:space="preserve">NotificAR Clara incluye a los adultos mayores como categoría específica de destinatario, activando automáticamente las funciones de accesibilidad reforzada (alto contraste, tipografía ampliada) y el recordatorio del derecho a concurrir acompañado. Esta activación automática —sin requerir que el usuario configure manualmente las opciones de accesibilidad— es una decisión de diseño que responde a la Guía de Buenas Prácticas, que señala la necesidad de que las medidas de ajuste sean proactivas y no reactivas.</w:t>
      </w:r>
    </w:p>
    <w:p>
      <w:pPr>
        <w:spacing w:after="80" w:before="240"/>
      </w:pPr>
      <w:r>
        <w:rPr>
          <w:rFonts w:ascii="Montserrat" w:cs="Montserrat" w:eastAsia="Montserrat" w:hAnsi="Montserrat"/>
          <w:b/>
          <w:bCs/>
          <w:color w:val="003366"/>
          <w:sz w:val="28"/>
          <w:szCs w:val="28"/>
        </w:rPr>
        <w:t xml:space="preserve">Perspectiva de Género</w:t>
      </w:r>
    </w:p>
    <w:p>
      <w:pPr>
        <w:spacing w:after="140" w:before="0" w:line="320" w:lineRule="auto"/>
        <w:jc w:val="both"/>
      </w:pPr>
      <w:r>
        <w:rPr>
          <w:rFonts w:ascii="Open Sans" w:cs="Open Sans" w:eastAsia="Open Sans" w:hAnsi="Open Sans"/>
          <w:sz w:val="22"/>
          <w:szCs w:val="22"/>
        </w:rPr>
        <w:t xml:space="preserve">La Guía de Buenas Prácticas para la Organización de Audiencias en Procesos Penales Vinculados a Delitos por Razones de Género (Res. SC 189/24) identifica como principios aplicables a los juicios orales, entre otros: el acceso a la información, el lenguaje claro y accesible, el diseño universal de los espacios destinados a la celebración de audiencias, y los ajustes de procedimiento para personas con discapacidad y adultos mayores. Señala además, como dificultad sistémica, el "desconocimiento general acerca de la dinámica de las audiencias, lo que genera sorpresa y angustia". NotificAR Clara responde directamente a esta dificultad: la notificación previa al acto procesal incluye una explicación de qué es la audiencia, qué va a ocurrir, qué derechos tiene la persona y cómo prepararse.</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5.  Principios de diseño: accesibilidad universal y mediación comunicacional</w:t>
      </w:r>
    </w:p>
    <w:p>
      <w:pPr>
        <w:spacing w:after="120" w:before="360"/>
      </w:pPr>
      <w:r>
        <w:rPr>
          <w:rFonts w:ascii="Montserrat" w:cs="Montserrat" w:eastAsia="Montserrat" w:hAnsi="Montserrat"/>
          <w:b/>
          <w:bCs/>
          <w:color w:val="003366"/>
          <w:sz w:val="40"/>
          <w:szCs w:val="40"/>
        </w:rPr>
        <w:t xml:space="preserve">5.1. El diseño universal como marco de referencia</w:t>
      </w:r>
    </w:p>
    <w:p>
      <w:pPr>
        <w:spacing w:after="140" w:before="0" w:line="320" w:lineRule="auto"/>
        <w:jc w:val="both"/>
      </w:pPr>
      <w:r>
        <w:rPr>
          <w:rFonts w:ascii="Open Sans" w:cs="Open Sans" w:eastAsia="Open Sans" w:hAnsi="Open Sans"/>
          <w:sz w:val="22"/>
          <w:szCs w:val="22"/>
        </w:rPr>
        <w:t xml:space="preserve">El diseño universal —principio recogido en el art. 2 de la CDPD— postula que los productos, entornos, programas y servicios deben ser utilizables por todas las personas, en la mayor medida posible, sin necesidad de adaptación ni diseño especializado. Aplicado a la comunicación judicial, implica que las notificaciones deben poder ser comprendidas por personas con distintas capacidades, niveles educativos, condiciones cognitivas y contextos culturales, sin que ningún grupo deba soportar una barrera adicional respecto a los demás.</w:t>
      </w:r>
    </w:p>
    <w:p>
      <w:pPr>
        <w:spacing w:after="140" w:before="0" w:line="320" w:lineRule="auto"/>
        <w:jc w:val="both"/>
      </w:pPr>
      <w:r>
        <w:rPr>
          <w:rFonts w:ascii="Open Sans" w:cs="Open Sans" w:eastAsia="Open Sans" w:hAnsi="Open Sans"/>
          <w:sz w:val="22"/>
          <w:szCs w:val="22"/>
        </w:rPr>
        <w:t xml:space="preserve">El diseño universal no elimina la posibilidad de ajustes específicos para personas con necesidades particulares, sino que los presupone como complemento y no como sustituto. NotificAR Clara opera en ambos niveles: ofrece una experiencia accesible por defecto para todos los destinatarios (lenguaje claro, diseño mobile-first, video con subtítulos, botones de contacto directo) y agrega capas de accesibilidad específica para personas con discapacidad y adultos mayores (alto contraste automático, tipografía ampliada, recordatorio de acompañante, referente de atención personalizada).</w:t>
      </w:r>
    </w:p>
    <w:p>
      <w:pPr>
        <w:spacing w:after="120" w:before="360"/>
      </w:pPr>
      <w:r>
        <w:rPr>
          <w:rFonts w:ascii="Montserrat" w:cs="Montserrat" w:eastAsia="Montserrat" w:hAnsi="Montserrat"/>
          <w:b/>
          <w:bCs/>
          <w:color w:val="003366"/>
          <w:sz w:val="40"/>
          <w:szCs w:val="40"/>
        </w:rPr>
        <w:t xml:space="preserve">5.2. Carga cognitiva y diseño para la comprensión en situaciones de estrés</w:t>
      </w:r>
    </w:p>
    <w:p>
      <w:pPr>
        <w:spacing w:after="140" w:before="0" w:line="320" w:lineRule="auto"/>
        <w:jc w:val="both"/>
      </w:pPr>
      <w:r>
        <w:rPr>
          <w:rFonts w:ascii="Open Sans" w:cs="Open Sans" w:eastAsia="Open Sans" w:hAnsi="Open Sans"/>
          <w:sz w:val="22"/>
          <w:szCs w:val="22"/>
        </w:rPr>
        <w:t xml:space="preserve">La teoría de la carga cognitiva (Sweller, 1988) sostiene que la capacidad de procesar información nueva es limitada y disminuye significativamente en situaciones de estrés, miedo o sobrecarga emocional. El diseño de comunicaciones para personas en condición de vulnerabilidad debe tener en cuenta este fenómeno: la información debe ser presentada en secuencias lógicas, con jerarquía visual clara, en fragmentos procesables, sin demandar del usuario más esfuerzo cognitivo del estrictamente necesario.</w:t>
      </w:r>
    </w:p>
    <w:p>
      <w:pPr>
        <w:spacing w:after="140" w:before="0" w:line="320" w:lineRule="auto"/>
        <w:jc w:val="both"/>
      </w:pPr>
      <w:r>
        <w:rPr>
          <w:rFonts w:ascii="Open Sans" w:cs="Open Sans" w:eastAsia="Open Sans" w:hAnsi="Open Sans"/>
          <w:sz w:val="22"/>
          <w:szCs w:val="22"/>
        </w:rPr>
        <w:t xml:space="preserve">La Guía de Buenas Prácticas (Res. SC 1131/26) establece recomendaciones de planificación del discurso que responden, en términos de diseño, a la teoría de la carga cognitiva: organizar jerárquicamente el mensaje en función de sus objetivos comunicacionales, definir el contexto y las condiciones de las personas destinatarias, establecer el estilo del lenguaje con anticipación, y garantizar coherencia entre las distintas partes del mensaje. NotificAR Clara operacionaliza estos principios: la interfaz ciudadana presenta la información en bloques secuenciales (video introductorio → qué es esta notificación → qué tenés que hacer → cuándo → contactos), cada uno de los cuales puede ser consumido de manera independiente o saltado según las necesidades del usuario.</w:t>
      </w:r>
    </w:p>
    <w:p>
      <w:pPr>
        <w:spacing w:after="120" w:before="360"/>
      </w:pPr>
      <w:r>
        <w:rPr>
          <w:rFonts w:ascii="Montserrat" w:cs="Montserrat" w:eastAsia="Montserrat" w:hAnsi="Montserrat"/>
          <w:b/>
          <w:bCs/>
          <w:color w:val="003366"/>
          <w:sz w:val="40"/>
          <w:szCs w:val="40"/>
        </w:rPr>
        <w:t xml:space="preserve">5.3. Multicanalidad y diseño accesible para la diversidad</w:t>
      </w:r>
    </w:p>
    <w:p>
      <w:pPr>
        <w:spacing w:after="140" w:before="0" w:line="320" w:lineRule="auto"/>
        <w:jc w:val="both"/>
      </w:pPr>
      <w:r>
        <w:rPr>
          <w:rFonts w:ascii="Open Sans" w:cs="Open Sans" w:eastAsia="Open Sans" w:hAnsi="Open Sans"/>
          <w:sz w:val="22"/>
          <w:szCs w:val="22"/>
        </w:rPr>
        <w:t xml:space="preserve">Una de las contribuciones más relevantes de la Guía (Res. SC 1131/26) para el diseño de NotificAR Clara es el principio de multicanalidad: la comunicación debe llegar a través de los canales más adecuados para cada persona y situación. El diseño del sistema contempla la coexistencia de canales: texto en lenguaje claro, video con subtítulos y voz, lectura en voz alta mediante síntesis de voz (Web Speech API), y contacto directo por WhatsApp. Esta estrategia multicanal no es solo tecnológica: es la traducción al diseño de la obligación normativa de adaptar la comunicación a las condiciones particulares de cada destinatario.</w:t>
      </w:r>
    </w:p>
    <w:p>
      <w:pPr>
        <w:spacing w:after="140" w:before="0" w:line="320" w:lineRule="auto"/>
        <w:jc w:val="both"/>
      </w:pPr>
      <w:r>
        <w:rPr>
          <w:rFonts w:ascii="Open Sans" w:cs="Open Sans" w:eastAsia="Open Sans" w:hAnsi="Open Sans"/>
          <w:sz w:val="22"/>
          <w:szCs w:val="22"/>
        </w:rPr>
        <w:t xml:space="preserve">Para personas con discapacidad visual, el sistema activa automáticamente el modo de alto contraste y la tipografía ampliada, y contempla como mejora futura la retroalimentación táctil y la lectura en voz alta al pasar el dedo sobre los botones principales —acercándose a los estándares de accesibilidad para personas usuarias de lectores de pantalla—. Para personas con discapacidad auditiva, el video de presentación incluye subtítulos sincronizados que permiten seguir el contenido sin audio. Para personas con discapacidad motriz, la interfaz privilegia zonas de toque amplias y elimina la necesidad de gestos complejos.</w:t>
      </w:r>
    </w:p>
    <w:p>
      <w:pPr>
        <w:spacing w:after="120" w:before="360"/>
      </w:pPr>
      <w:r>
        <w:rPr>
          <w:rFonts w:ascii="Montserrat" w:cs="Montserrat" w:eastAsia="Montserrat" w:hAnsi="Montserrat"/>
          <w:b/>
          <w:bCs/>
          <w:color w:val="003366"/>
          <w:sz w:val="40"/>
          <w:szCs w:val="40"/>
        </w:rPr>
        <w:t xml:space="preserve">5.4. La identidad del sistema como mensaje: del miedo a la comprensión</w:t>
      </w:r>
    </w:p>
    <w:p>
      <w:pPr>
        <w:spacing w:after="140" w:before="0" w:line="320" w:lineRule="auto"/>
        <w:jc w:val="both"/>
      </w:pPr>
      <w:r>
        <w:rPr>
          <w:rFonts w:ascii="Open Sans" w:cs="Open Sans" w:eastAsia="Open Sans" w:hAnsi="Open Sans"/>
          <w:sz w:val="22"/>
          <w:szCs w:val="22"/>
        </w:rPr>
        <w:t xml:space="preserve">El diseño de la interfaz ciudadana de NotificAR Clara es en sí mismo un mensaje. El tono, el vocabulario, el encuadre visual y la disposición de los elementos comunican, antes que el contenido de la notificación, una actitud del Estado hacia la persona: que su no-comprensión es normal y no vergonzosa, que hay alguien que puede explicarle, que no está sola. La primera palabra del video introductorio de Clara es "Hola": una elección deliberada que rompe con el registro formal e impersonal del documento judicial y establece una relación de interlocución directa con la persona.</w:t>
      </w:r>
    </w:p>
    <w:p>
      <w:pPr>
        <w:spacing w:after="140" w:before="0" w:line="320" w:lineRule="auto"/>
        <w:jc w:val="both"/>
      </w:pPr>
      <w:r>
        <w:rPr>
          <w:rFonts w:ascii="Open Sans" w:cs="Open Sans" w:eastAsia="Open Sans" w:hAnsi="Open Sans"/>
          <w:sz w:val="22"/>
          <w:szCs w:val="22"/>
        </w:rPr>
        <w:t xml:space="preserve">Esta dimensión —que podría llamarse diseño de la presencia institucional— está alineada con las recomendaciones de la Guía de Buenas Prácticas sobre respeto, consideración y autenticidad en la comunicación judicial: "El mensaje debe ser expresado de forma honesta, respetuosa y no discriminatoria. Es preciso tratar a la persona receptora con dignidad y consideración". La simplificación del lenguaje no es suficiente si no va acompañada de un cambio en la actitud comunicacional del Estado hacia el ciudadano.</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6.  NotificAR Clara: descripción del sistema y sus funcionalidades</w:t>
      </w:r>
    </w:p>
    <w:p>
      <w:pPr>
        <w:spacing w:after="120" w:before="360"/>
      </w:pPr>
      <w:r>
        <w:rPr>
          <w:rFonts w:ascii="Montserrat" w:cs="Montserrat" w:eastAsia="Montserrat" w:hAnsi="Montserrat"/>
          <w:b/>
          <w:bCs/>
          <w:color w:val="003366"/>
          <w:sz w:val="40"/>
          <w:szCs w:val="40"/>
        </w:rPr>
        <w:t xml:space="preserve">6.1. Descripción general</w:t>
      </w:r>
    </w:p>
    <w:p>
      <w:pPr>
        <w:spacing w:after="140" w:before="0" w:line="320" w:lineRule="auto"/>
        <w:jc w:val="both"/>
      </w:pPr>
      <w:r>
        <w:rPr>
          <w:rFonts w:ascii="Open Sans" w:cs="Open Sans" w:eastAsia="Open Sans" w:hAnsi="Open Sans"/>
          <w:sz w:val="22"/>
          <w:szCs w:val="22"/>
        </w:rPr>
        <w:t xml:space="preserve">NotificAR Clara es un sistema de mediación comunicacional operativo en producción en https://notificar-clara.vercel.app. El operador judicial ingresa el texto de la notificación en un panel web, selecciona el tipo de acto procesal y el perfil del destinatario, y el sistema genera automáticamente: una explicación en lenguaje claro adaptada al perfil mediante inteligencia artificial (Claude Haiku, API de Anthropic); un video introductorio con subtítulos sincronizados; y un código QR que puede imprimirse o enviarse junto con la notificación original. Al escanear el QR, el destinatario accede a una interfaz diseñada para teléfonos celulares que no requiere instalación de ninguna aplicación.</w:t>
      </w:r>
    </w:p>
    <w:p>
      <w:pPr>
        <w:spacing w:after="120" w:before="360"/>
      </w:pPr>
      <w:r>
        <w:rPr>
          <w:rFonts w:ascii="Montserrat" w:cs="Montserrat" w:eastAsia="Montserrat" w:hAnsi="Montserrat"/>
          <w:b/>
          <w:bCs/>
          <w:color w:val="003366"/>
          <w:sz w:val="40"/>
          <w:szCs w:val="40"/>
        </w:rPr>
        <w:t xml:space="preserve">6.2. Perfiles de destinatario y adaptación del lenguaje</w:t>
      </w:r>
    </w:p>
    <w:p>
      <w:pPr>
        <w:spacing w:after="140" w:before="0" w:line="320" w:lineRule="auto"/>
        <w:jc w:val="both"/>
      </w:pPr>
      <w:r>
        <w:rPr>
          <w:rFonts w:ascii="Open Sans" w:cs="Open Sans" w:eastAsia="Open Sans" w:hAnsi="Open Sans"/>
          <w:sz w:val="22"/>
          <w:szCs w:val="22"/>
        </w:rPr>
        <w:t xml:space="preserve">El sistema contempla once perfiles de destinatario: actor, demandado, imputado, víctima, testigo, NNA 0-6 años, NNA 7-12 años, NNA 13-17 años, adulto mayor, letrado y perito. Para cada perfil, el sistema aplica un prompt IA especializado que ajusta el vocabulario, el tono, el nivel de detalle y el énfasis en los derechos relevantes. Los perfiles letrado y perito reciben únicamente un triage de urgencia, dado que su formación jurídica hace innecesaria la explicación en lenguaje claro.</w:t>
      </w:r>
    </w:p>
    <w:p>
      <w:pPr>
        <w:spacing w:after="140" w:before="0" w:line="320" w:lineRule="auto"/>
        <w:jc w:val="both"/>
      </w:pPr>
      <w:r>
        <w:rPr>
          <w:rFonts w:ascii="Open Sans" w:cs="Open Sans" w:eastAsia="Open Sans" w:hAnsi="Open Sans"/>
          <w:sz w:val="22"/>
          <w:szCs w:val="22"/>
        </w:rPr>
        <w:t xml:space="preserve">El sistema contempla también diez tipos de acto procesal: testimonial, indagatoria, resolución civil, resolución penal, sentencia civil, sentencia penal, sentencia de cámara, alimentos, y tipos específicos de accesibilidad auditiva y visual. La combinación de tipo de acto y perfil de destinatario —más el eventual tipo de discapacidad— genera la explicación más adecuada para cada situación.</w:t>
      </w:r>
    </w:p>
    <w:p>
      <w:pPr>
        <w:spacing w:after="120" w:before="360"/>
      </w:pPr>
      <w:r>
        <w:rPr>
          <w:rFonts w:ascii="Montserrat" w:cs="Montserrat" w:eastAsia="Montserrat" w:hAnsi="Montserrat"/>
          <w:b/>
          <w:bCs/>
          <w:color w:val="003366"/>
          <w:sz w:val="40"/>
          <w:szCs w:val="40"/>
        </w:rPr>
        <w:t xml:space="preserve">6.3. Módulo de ajustes razonables de procedimiento</w:t>
      </w:r>
    </w:p>
    <w:p>
      <w:pPr>
        <w:spacing w:after="140" w:before="0" w:line="320" w:lineRule="auto"/>
        <w:jc w:val="both"/>
      </w:pPr>
      <w:r>
        <w:rPr>
          <w:rFonts w:ascii="Open Sans" w:cs="Open Sans" w:eastAsia="Open Sans" w:hAnsi="Open Sans"/>
          <w:sz w:val="22"/>
          <w:szCs w:val="22"/>
        </w:rPr>
        <w:t xml:space="preserve">La versión 1.1 incorporó un módulo de ajustes razonables que permite al operador judicial identificar, para cada notificación, el tipo de discapacidad del destinatario (visual, auditiva, motriz, intelectual/psicosocial) y activar las correspondientes funcionalidades de adaptación:</w:t>
      </w:r>
    </w:p>
    <w:p>
      <w:pPr>
        <w:spacing w:after="80" w:before="0" w:line="300" w:lineRule="auto"/>
        <w:ind w:left="720" w:hanging="360"/>
        <w:jc w:val="both"/>
      </w:pPr>
      <w:r>
        <w:rPr>
          <w:rFonts w:ascii="Open Sans" w:cs="Open Sans" w:eastAsia="Open Sans" w:hAnsi="Open Sans"/>
          <w:sz w:val="22"/>
          <w:szCs w:val="22"/>
        </w:rPr>
        <w:t xml:space="preserve">• Accesibilidad automática: alto contraste y tipografía ampliada se activan por defecto para discapacidad visual y adultos mayores, sin que el usuario deba configurarlo.</w:t>
      </w:r>
    </w:p>
    <w:p>
      <w:pPr>
        <w:spacing w:after="80" w:before="0" w:line="300" w:lineRule="auto"/>
        <w:ind w:left="720" w:hanging="360"/>
        <w:jc w:val="both"/>
      </w:pPr>
      <w:r>
        <w:rPr>
          <w:rFonts w:ascii="Open Sans" w:cs="Open Sans" w:eastAsia="Open Sans" w:hAnsi="Open Sans"/>
          <w:sz w:val="22"/>
          <w:szCs w:val="22"/>
        </w:rPr>
        <w:t xml:space="preserve">• Referente de atención: el operador indica el nombre y cargo del/la agente judicial designado/a para atender a la persona. La notificación muestra este dato destacado ("Al llegar, pregunte por [nombre]").</w:t>
      </w:r>
    </w:p>
    <w:p>
      <w:pPr>
        <w:spacing w:after="80" w:before="0" w:line="300" w:lineRule="auto"/>
        <w:ind w:left="720" w:hanging="360"/>
        <w:jc w:val="both"/>
      </w:pPr>
      <w:r>
        <w:rPr>
          <w:rFonts w:ascii="Open Sans" w:cs="Open Sans" w:eastAsia="Open Sans" w:hAnsi="Open Sans"/>
          <w:sz w:val="22"/>
          <w:szCs w:val="22"/>
        </w:rPr>
        <w:t xml:space="preserve">• Orientación geográfica: información de transporte público y acceso accesible al edificio judicial, con vínculo a Google Maps.</w:t>
      </w:r>
    </w:p>
    <w:p>
      <w:pPr>
        <w:spacing w:after="80" w:before="0" w:line="300" w:lineRule="auto"/>
        <w:ind w:left="720" w:hanging="360"/>
        <w:jc w:val="both"/>
      </w:pPr>
      <w:r>
        <w:rPr>
          <w:rFonts w:ascii="Open Sans" w:cs="Open Sans" w:eastAsia="Open Sans" w:hAnsi="Open Sans"/>
          <w:sz w:val="22"/>
          <w:szCs w:val="22"/>
        </w:rPr>
        <w:t xml:space="preserve">• Recordatorio de acompañante: aviso destacado del derecho a concurrir con una persona de apoyo.</w:t>
      </w:r>
    </w:p>
    <w:p>
      <w:pPr>
        <w:spacing w:after="80" w:before="0" w:line="300" w:lineRule="auto"/>
        <w:ind w:left="720" w:hanging="360"/>
        <w:jc w:val="both"/>
      </w:pPr>
      <w:r>
        <w:rPr>
          <w:rFonts w:ascii="Open Sans" w:cs="Open Sans" w:eastAsia="Open Sans" w:hAnsi="Open Sans"/>
          <w:sz w:val="22"/>
          <w:szCs w:val="22"/>
        </w:rPr>
        <w:t xml:space="preserve">• Canal de solicitud de ajuste: botón de comunicación directa con el órgano para que la persona informe qué ajuste razonable le resulta más adecuado, especialmente relevante en la primera notificación.</w:t>
      </w:r>
    </w:p>
    <w:p>
      <w:pPr>
        <w:spacing w:after="60" w:before="0"/>
      </w:pPr>
      <w:r>
        <w:t xml:space="preserve"/>
      </w:r>
    </w:p>
    <w:p>
      <w:pPr>
        <w:spacing w:after="140" w:before="0" w:line="320" w:lineRule="auto"/>
        <w:jc w:val="both"/>
      </w:pPr>
      <w:r>
        <w:rPr>
          <w:rFonts w:ascii="Open Sans" w:cs="Open Sans" w:eastAsia="Open Sans" w:hAnsi="Open Sans"/>
          <w:sz w:val="22"/>
          <w:szCs w:val="22"/>
        </w:rPr>
        <w:t xml:space="preserve">Cada tipo de discapacidad activa, además, un prompt IA especializado con las instrucciones procesales pertinentes. Para discapacidad intelectual o psicosocial, el sistema incluye una advertencia al operador judicial recomendando que la notificación sea realizada con apoyo del equipo técnico interdisciplinario.</w:t>
      </w:r>
    </w:p>
    <w:p>
      <w:pPr>
        <w:spacing w:after="120" w:before="360"/>
      </w:pPr>
      <w:r>
        <w:rPr>
          <w:rFonts w:ascii="Montserrat" w:cs="Montserrat" w:eastAsia="Montserrat" w:hAnsi="Montserrat"/>
          <w:b/>
          <w:bCs/>
          <w:color w:val="003366"/>
          <w:sz w:val="40"/>
          <w:szCs w:val="40"/>
        </w:rPr>
        <w:t xml:space="preserve">6.4. Video con subtítulos y enlace al documento original</w:t>
      </w:r>
    </w:p>
    <w:p>
      <w:pPr>
        <w:spacing w:after="140" w:before="0" w:line="320" w:lineRule="auto"/>
        <w:jc w:val="both"/>
      </w:pPr>
      <w:r>
        <w:rPr>
          <w:rFonts w:ascii="Open Sans" w:cs="Open Sans" w:eastAsia="Open Sans" w:hAnsi="Open Sans"/>
          <w:sz w:val="22"/>
          <w:szCs w:val="22"/>
        </w:rPr>
        <w:t xml:space="preserve">La versión 1.2 incorporó un video de presentación con subtítulos sincronizados que se muestra automáticamente al escanear el QR. Los subtítulos son esenciales para la accesibilidad de personas con discapacidad auditiva. El video puede omitirse con un único gesto, respetando la autonomía de quienes no requieren el video introductorio.</w:t>
      </w:r>
    </w:p>
    <w:p>
      <w:pPr>
        <w:spacing w:after="140" w:before="0" w:line="320" w:lineRule="auto"/>
        <w:jc w:val="both"/>
      </w:pPr>
      <w:r>
        <w:rPr>
          <w:rFonts w:ascii="Open Sans" w:cs="Open Sans" w:eastAsia="Open Sans" w:hAnsi="Open Sans"/>
          <w:sz w:val="22"/>
          <w:szCs w:val="22"/>
        </w:rPr>
        <w:t xml:space="preserve">El sistema permite al operador adjuntar el enlace al documento judicial original. El destinatario puede abrirlo directamente o reenviárselo a su abogado/a mediante WhatsApp preconfigurado, facilitando el acceso al documento formal sin necesidad de gestiones adicionales.</w:t>
      </w:r>
    </w:p>
    <w:p>
      <w:r>
        <w:br w:type="page"/>
      </w:r>
    </w:p>
    <w:p>
      <w:pPr>
        <w:pBdr>
          <w:bottom w:val="single" w:color="00C2C2" w:sz="12"/>
        </w:pBdr>
        <w:spacing w:after="200" w:before="480"/>
      </w:pPr>
      <w:r>
        <w:rPr>
          <w:rFonts w:ascii="Montserrat" w:cs="Montserrat" w:eastAsia="Montserrat" w:hAnsi="Montserrat"/>
          <w:b/>
          <w:bCs/>
          <w:color w:val="003366"/>
          <w:sz w:val="52"/>
          <w:szCs w:val="52"/>
        </w:rPr>
        <w:t xml:space="preserve">7.  Conclusiones</w:t>
      </w:r>
    </w:p>
    <w:p>
      <w:pPr>
        <w:spacing w:after="140" w:before="0" w:line="320" w:lineRule="auto"/>
        <w:jc w:val="both"/>
      </w:pPr>
      <w:r>
        <w:rPr>
          <w:rFonts w:ascii="Open Sans" w:cs="Open Sans" w:eastAsia="Open Sans" w:hAnsi="Open Sans"/>
          <w:sz w:val="22"/>
          <w:szCs w:val="22"/>
        </w:rPr>
        <w:t xml:space="preserve">NotificAR Clara es, antes que un desarrollo tecnológico, una toma de posición sobre la función comunicacional del Estado judicial. Parte del reconocimiento de que la notificación judicial no es solo un acto procesal sino un acto de comunicación, y que cuando este fracasa —cuando la persona notificada no puede comprender su contenido ni actuar en consecuencia— falla el sistema de garantías en su conjunto.</w:t>
      </w:r>
    </w:p>
    <w:p>
      <w:pPr>
        <w:spacing w:after="140" w:before="0" w:line="320" w:lineRule="auto"/>
        <w:jc w:val="both"/>
      </w:pPr>
      <w:r>
        <w:rPr>
          <w:rFonts w:ascii="Open Sans" w:cs="Open Sans" w:eastAsia="Open Sans" w:hAnsi="Open Sans"/>
          <w:sz w:val="22"/>
          <w:szCs w:val="22"/>
        </w:rPr>
        <w:t xml:space="preserve">El sistema traduce en funcionalidades concretas las obligaciones normativas emergentes de la CDPD, la Convención Interamericana sobre Personas Mayores, la CDN, la CADH, las Reglas de Brasilia y el ordenamiento jurídico provincial. No se trata de una respuesta burocrática a un mandato formal: se trata de la convicción de que la claridad es una condición de la legitimidad democrática del Poder Judicial, y de que el diseño accesible es la forma técnica de cumplir la obligación de igualdad real ante la justicia.</w:t>
      </w:r>
    </w:p>
    <w:p>
      <w:pPr>
        <w:spacing w:after="140" w:before="0" w:line="320" w:lineRule="auto"/>
        <w:jc w:val="both"/>
      </w:pPr>
      <w:r>
        <w:rPr>
          <w:rFonts w:ascii="Open Sans" w:cs="Open Sans" w:eastAsia="Open Sans" w:hAnsi="Open Sans"/>
          <w:sz w:val="22"/>
          <w:szCs w:val="22"/>
        </w:rPr>
        <w:t xml:space="preserve">Las guías de buenas prácticas aprobadas por la Suprema Corte de Justicia de la Provincia de Buenos Aires —lenguaje claro, discapacidad, personas mayores, NNA, género— proveen el marco normativo y conceptual que justifica, orienta y legitima cada decisión de diseño del sistema. NotificAR Clara no inventa un estándar: lo implementa tecnológicamente, haciéndolo accesible para cualquier órgano judicial que disponga de conectividad a internet y un agente dispuesto a tomar tres minutos adicionales en el proceso de notificación.</w:t>
      </w:r>
    </w:p>
    <w:p>
      <w:pPr>
        <w:spacing w:after="140" w:before="0" w:line="320" w:lineRule="auto"/>
        <w:jc w:val="both"/>
      </w:pPr>
      <w:r>
        <w:rPr>
          <w:rFonts w:ascii="Open Sans" w:cs="Open Sans" w:eastAsia="Open Sans" w:hAnsi="Open Sans"/>
          <w:sz w:val="22"/>
          <w:szCs w:val="22"/>
        </w:rPr>
        <w:t xml:space="preserve">La implementación de NotificAR Clara no agota el problema de la incomprensión judicial. Pero representa un paso concreto, replicable y medible en la dirección correcta. Invitamos a la comunidad académica, a los operadores judiciales y a los decisores institucionales a sumarse a esta experiencia y a contribuir con sus perspectivas a su mejora continua.</w:t>
      </w:r>
    </w:p>
    <w:p>
      <w:pPr>
        <w:pBdr>
          <w:bottom w:val="single" w:color="00C2C2" w:sz="6"/>
        </w:pBdr>
        <w:spacing w:after="120" w:before="120"/>
      </w:pPr>
    </w:p>
    <w:p>
      <w:pPr>
        <w:spacing w:after="60" w:before="0"/>
      </w:pPr>
      <w:r>
        <w:t xml:space="preserve"/>
      </w:r>
    </w:p>
    <w:p>
      <w:pPr>
        <w:pBdr>
          <w:bottom w:val="single" w:color="00C2C2" w:sz="12"/>
        </w:pBdr>
        <w:spacing w:after="200" w:before="480"/>
      </w:pPr>
      <w:r>
        <w:rPr>
          <w:rFonts w:ascii="Montserrat" w:cs="Montserrat" w:eastAsia="Montserrat" w:hAnsi="Montserrat"/>
          <w:b/>
          <w:bCs/>
          <w:color w:val="003366"/>
          <w:sz w:val="52"/>
          <w:szCs w:val="52"/>
        </w:rPr>
        <w:t xml:space="preserve">Referencias</w:t>
      </w:r>
    </w:p>
    <w:p>
      <w:pPr>
        <w:spacing w:after="140" w:before="0" w:line="320" w:lineRule="auto"/>
        <w:jc w:val="both"/>
      </w:pPr>
      <w:r>
        <w:rPr>
          <w:rFonts w:ascii="Open Sans" w:cs="Open Sans" w:eastAsia="Open Sans" w:hAnsi="Open Sans"/>
          <w:sz w:val="22"/>
          <w:szCs w:val="22"/>
        </w:rPr>
        <w:t xml:space="preserve">Suprema Corte de Justicia de la Provincia de Buenos Aires (2026). Guía de Buenas Prácticas para el Empleo de un Lenguaje Claro y Accesible. Resolución SC 1131/26.</w:t>
      </w:r>
    </w:p>
    <w:p>
      <w:pPr>
        <w:spacing w:after="140" w:before="0" w:line="320" w:lineRule="auto"/>
        <w:jc w:val="both"/>
      </w:pPr>
      <w:r>
        <w:rPr>
          <w:rFonts w:ascii="Open Sans" w:cs="Open Sans" w:eastAsia="Open Sans" w:hAnsi="Open Sans"/>
          <w:sz w:val="22"/>
          <w:szCs w:val="22"/>
        </w:rPr>
        <w:t xml:space="preserve">Suprema Corte de Justicia de la Provincia de Buenos Aires (2025). Guía de Buenas Prácticas para el Acceso a la Justicia de las Personas con Discapacidad.</w:t>
      </w:r>
    </w:p>
    <w:p>
      <w:pPr>
        <w:spacing w:after="140" w:before="0" w:line="320" w:lineRule="auto"/>
        <w:jc w:val="both"/>
      </w:pPr>
      <w:r>
        <w:rPr>
          <w:rFonts w:ascii="Open Sans" w:cs="Open Sans" w:eastAsia="Open Sans" w:hAnsi="Open Sans"/>
          <w:sz w:val="22"/>
          <w:szCs w:val="22"/>
        </w:rPr>
        <w:t xml:space="preserve">Suprema Corte de Justicia de la Provincia de Buenos Aires (2025). Guía de Buenas Prácticas para el Acceso a la Justicia de las Personas Mayores.</w:t>
      </w:r>
    </w:p>
    <w:p>
      <w:pPr>
        <w:spacing w:after="140" w:before="0" w:line="320" w:lineRule="auto"/>
        <w:jc w:val="both"/>
      </w:pPr>
      <w:r>
        <w:rPr>
          <w:rFonts w:ascii="Open Sans" w:cs="Open Sans" w:eastAsia="Open Sans" w:hAnsi="Open Sans"/>
          <w:sz w:val="22"/>
          <w:szCs w:val="22"/>
        </w:rPr>
        <w:t xml:space="preserve">Suprema Corte de Justicia de la Provincia de Buenos Aires (2025). Guía para Escuchar a Niños, Niñas y Adolescentes en el Proceso Judicial.</w:t>
      </w:r>
    </w:p>
    <w:p>
      <w:pPr>
        <w:spacing w:after="140" w:before="0" w:line="320" w:lineRule="auto"/>
        <w:jc w:val="both"/>
      </w:pPr>
      <w:r>
        <w:rPr>
          <w:rFonts w:ascii="Open Sans" w:cs="Open Sans" w:eastAsia="Open Sans" w:hAnsi="Open Sans"/>
          <w:sz w:val="22"/>
          <w:szCs w:val="22"/>
        </w:rPr>
        <w:t xml:space="preserve">Suprema Corte de Justicia de la Provincia de Buenos Aires (2024). Guía de Buenas Prácticas para la Organización de Audiencias en Procesos Penales Vinculados a Delitos por Razones de Género. Resolución SC 189/24.</w:t>
      </w:r>
    </w:p>
    <w:p>
      <w:pPr>
        <w:spacing w:after="140" w:before="0" w:line="320" w:lineRule="auto"/>
        <w:jc w:val="both"/>
      </w:pPr>
      <w:r>
        <w:rPr>
          <w:rFonts w:ascii="Open Sans" w:cs="Open Sans" w:eastAsia="Open Sans" w:hAnsi="Open Sans"/>
          <w:sz w:val="22"/>
          <w:szCs w:val="22"/>
        </w:rPr>
        <w:t xml:space="preserve">ONU (2006). Convención sobre los Derechos de las Personas con Discapacidad. A/RES/61/106. Ley 27.044 (Argentina).</w:t>
      </w:r>
    </w:p>
    <w:p>
      <w:pPr>
        <w:spacing w:after="140" w:before="0" w:line="320" w:lineRule="auto"/>
        <w:jc w:val="both"/>
      </w:pPr>
      <w:r>
        <w:rPr>
          <w:rFonts w:ascii="Open Sans" w:cs="Open Sans" w:eastAsia="Open Sans" w:hAnsi="Open Sans"/>
          <w:sz w:val="22"/>
          <w:szCs w:val="22"/>
        </w:rPr>
        <w:t xml:space="preserve">OEA (2015). Convención Interamericana sobre la Protección de los Derechos Humanos de las Personas Mayores. A-70.</w:t>
      </w:r>
    </w:p>
    <w:p>
      <w:pPr>
        <w:spacing w:after="140" w:before="0" w:line="320" w:lineRule="auto"/>
        <w:jc w:val="both"/>
      </w:pPr>
      <w:r>
        <w:rPr>
          <w:rFonts w:ascii="Open Sans" w:cs="Open Sans" w:eastAsia="Open Sans" w:hAnsi="Open Sans"/>
          <w:sz w:val="22"/>
          <w:szCs w:val="22"/>
        </w:rPr>
        <w:t xml:space="preserve">OEA (1969). Convención Americana sobre Derechos Humanos. OASTS 36.</w:t>
      </w:r>
    </w:p>
    <w:p>
      <w:pPr>
        <w:spacing w:after="140" w:before="0" w:line="320" w:lineRule="auto"/>
        <w:jc w:val="both"/>
      </w:pPr>
      <w:r>
        <w:rPr>
          <w:rFonts w:ascii="Open Sans" w:cs="Open Sans" w:eastAsia="Open Sans" w:hAnsi="Open Sans"/>
          <w:sz w:val="22"/>
          <w:szCs w:val="22"/>
        </w:rPr>
        <w:t xml:space="preserve">ONU (1989). Convención sobre los Derechos del Niño. Ley 23.849 (Argentina).</w:t>
      </w:r>
    </w:p>
    <w:p>
      <w:pPr>
        <w:spacing w:after="140" w:before="0" w:line="320" w:lineRule="auto"/>
        <w:jc w:val="both"/>
      </w:pPr>
      <w:r>
        <w:rPr>
          <w:rFonts w:ascii="Open Sans" w:cs="Open Sans" w:eastAsia="Open Sans" w:hAnsi="Open Sans"/>
          <w:sz w:val="22"/>
          <w:szCs w:val="22"/>
        </w:rPr>
        <w:t xml:space="preserve">XIV Cumbre Judicial Iberoamericana (2008, rev. 2018). Reglas de Brasilia sobre el Acceso a la Justicia de las Personas en Condición de Vulnerabilidad.</w:t>
      </w:r>
    </w:p>
    <w:p>
      <w:pPr>
        <w:spacing w:after="140" w:before="0" w:line="320" w:lineRule="auto"/>
        <w:jc w:val="both"/>
      </w:pPr>
      <w:r>
        <w:rPr>
          <w:rFonts w:ascii="Open Sans" w:cs="Open Sans" w:eastAsia="Open Sans" w:hAnsi="Open Sans"/>
          <w:sz w:val="22"/>
          <w:szCs w:val="22"/>
        </w:rPr>
        <w:t xml:space="preserve">XVIII Cumbre Judicial Iberoamericana (2016). Declaración de Asunción. Paraguay.</w:t>
      </w:r>
    </w:p>
    <w:p>
      <w:pPr>
        <w:spacing w:after="140" w:before="0" w:line="320" w:lineRule="auto"/>
        <w:jc w:val="both"/>
      </w:pPr>
      <w:r>
        <w:rPr>
          <w:rFonts w:ascii="Open Sans" w:cs="Open Sans" w:eastAsia="Open Sans" w:hAnsi="Open Sans"/>
          <w:sz w:val="22"/>
          <w:szCs w:val="22"/>
        </w:rPr>
        <w:t xml:space="preserve">Corte Interamericana de Derechos Humanos (2021). Caso Guachalá Chimbó y otros vs. Ecuador.</w:t>
      </w:r>
    </w:p>
    <w:p>
      <w:pPr>
        <w:spacing w:after="140" w:before="0" w:line="320" w:lineRule="auto"/>
        <w:jc w:val="both"/>
      </w:pPr>
      <w:r>
        <w:rPr>
          <w:rFonts w:ascii="Open Sans" w:cs="Open Sans" w:eastAsia="Open Sans" w:hAnsi="Open Sans"/>
          <w:sz w:val="22"/>
          <w:szCs w:val="22"/>
        </w:rPr>
        <w:t xml:space="preserve">Corte Interamericana de Derechos Humanos (2016). Caso Chinchilla Sandoval vs. Guatemala.</w:t>
      </w:r>
    </w:p>
    <w:p>
      <w:pPr>
        <w:spacing w:after="140" w:before="0" w:line="320" w:lineRule="auto"/>
        <w:jc w:val="both"/>
      </w:pPr>
      <w:r>
        <w:rPr>
          <w:rFonts w:ascii="Open Sans" w:cs="Open Sans" w:eastAsia="Open Sans" w:hAnsi="Open Sans"/>
          <w:sz w:val="22"/>
          <w:szCs w:val="22"/>
        </w:rPr>
        <w:t xml:space="preserve">Corte Interamericana de Derechos Humanos (2006). Caso Claude Reyes y otros vs. Chile.</w:t>
      </w:r>
    </w:p>
    <w:p>
      <w:pPr>
        <w:spacing w:after="140" w:before="0" w:line="320" w:lineRule="auto"/>
        <w:jc w:val="both"/>
      </w:pPr>
      <w:r>
        <w:rPr>
          <w:rFonts w:ascii="Open Sans" w:cs="Open Sans" w:eastAsia="Open Sans" w:hAnsi="Open Sans"/>
          <w:sz w:val="22"/>
          <w:szCs w:val="22"/>
        </w:rPr>
        <w:t xml:space="preserve">Corte Interamericana de Derechos Humanos (2001). Caso Baena, Ricardo y otros vs. Panamá.</w:t>
      </w:r>
    </w:p>
    <w:p>
      <w:pPr>
        <w:spacing w:after="140" w:before="0" w:line="320" w:lineRule="auto"/>
        <w:jc w:val="both"/>
      </w:pPr>
      <w:r>
        <w:rPr>
          <w:rFonts w:ascii="Open Sans" w:cs="Open Sans" w:eastAsia="Open Sans" w:hAnsi="Open Sans"/>
          <w:sz w:val="22"/>
          <w:szCs w:val="22"/>
        </w:rPr>
        <w:t xml:space="preserve">Ley 26.061 (2005). Protección Integral de los Derechos de las Niñas, Niños y Adolescentes. Argentina.</w:t>
      </w:r>
    </w:p>
    <w:p>
      <w:pPr>
        <w:spacing w:after="140" w:before="0" w:line="320" w:lineRule="auto"/>
        <w:jc w:val="both"/>
      </w:pPr>
      <w:r>
        <w:rPr>
          <w:rFonts w:ascii="Open Sans" w:cs="Open Sans" w:eastAsia="Open Sans" w:hAnsi="Open Sans"/>
          <w:sz w:val="22"/>
          <w:szCs w:val="22"/>
        </w:rPr>
        <w:t xml:space="preserve">Ley 27.044 (2014). Jerarquía constitucional a la Convención sobre los Derechos de las Personas con Discapacidad. Argentina.</w:t>
      </w:r>
    </w:p>
    <w:p>
      <w:pPr>
        <w:spacing w:after="140" w:before="0" w:line="320" w:lineRule="auto"/>
        <w:jc w:val="both"/>
      </w:pPr>
      <w:r>
        <w:rPr>
          <w:rFonts w:ascii="Open Sans" w:cs="Open Sans" w:eastAsia="Open Sans" w:hAnsi="Open Sans"/>
          <w:sz w:val="22"/>
          <w:szCs w:val="22"/>
        </w:rPr>
        <w:t xml:space="preserve">Ley 15.184 (2020). Lenguaje Claro en la Administración Pública Provincial. Provincia de Buenos Aires.</w:t>
      </w:r>
    </w:p>
    <w:p>
      <w:pPr>
        <w:spacing w:after="140" w:before="0" w:line="320" w:lineRule="auto"/>
        <w:jc w:val="both"/>
      </w:pPr>
      <w:r>
        <w:rPr>
          <w:rFonts w:ascii="Open Sans" w:cs="Open Sans" w:eastAsia="Open Sans" w:hAnsi="Open Sans"/>
          <w:sz w:val="22"/>
          <w:szCs w:val="22"/>
        </w:rPr>
        <w:t xml:space="preserve">Ley 15.232 (2021). Asistencia, Protección e Intervención del Estado respecto de las Víctimas de Delito. Provincia de Buenos Aires.</w:t>
      </w:r>
    </w:p>
    <w:p>
      <w:pPr>
        <w:spacing w:after="140" w:before="0" w:line="320" w:lineRule="auto"/>
        <w:jc w:val="both"/>
      </w:pPr>
      <w:r>
        <w:rPr>
          <w:rFonts w:ascii="Open Sans" w:cs="Open Sans" w:eastAsia="Open Sans" w:hAnsi="Open Sans"/>
          <w:sz w:val="22"/>
          <w:szCs w:val="22"/>
        </w:rPr>
        <w:t xml:space="preserve">Sweller, J. (1988). Cognitive load during problem solving: Effects on learning. Cognitive Science, 12(2), 257–285.</w:t>
      </w:r>
    </w:p>
    <w:p>
      <w:pPr>
        <w:spacing w:after="140" w:before="0" w:line="320" w:lineRule="auto"/>
        <w:jc w:val="both"/>
      </w:pPr>
      <w:r>
        <w:rPr>
          <w:rFonts w:ascii="Open Sans" w:cs="Open Sans" w:eastAsia="Open Sans" w:hAnsi="Open Sans"/>
          <w:sz w:val="22"/>
          <w:szCs w:val="22"/>
        </w:rPr>
        <w:t xml:space="preserve">Red Panhispánica de Lenguaje Claro y Accesible. Conclusiones de las Convenciones I, II y III (2022–2026).</w:t>
      </w:r>
    </w:p>
    <w:p>
      <w:pPr>
        <w:pBdr>
          <w:bottom w:val="single" w:color="00C2C2" w:sz="6"/>
        </w:pBdr>
        <w:spacing w:after="120" w:before="120"/>
      </w:pPr>
    </w:p>
    <w:p>
      <w:pPr>
        <w:spacing w:after="60" w:before="0"/>
      </w:pPr>
      <w:r>
        <w:t xml:space="preserve"/>
      </w:r>
    </w:p>
    <w:p>
      <w:pPr>
        <w:spacing w:after="60" w:before="400"/>
        <w:jc w:val="center"/>
      </w:pPr>
      <w:r>
        <w:rPr>
          <w:rFonts w:ascii="Roboto Mono" w:cs="Roboto Mono" w:eastAsia="Roboto Mono" w:hAnsi="Roboto Mono"/>
          <w:color w:val="00C2C2"/>
          <w:sz w:val="20"/>
          <w:szCs w:val="20"/>
        </w:rPr>
        <w:t xml:space="preserve">Red Marea D+I — Derecho e innovación en red</w:t>
      </w:r>
    </w:p>
    <w:p>
      <w:pPr>
        <w:jc w:val="center"/>
      </w:pPr>
      <w:r>
        <w:rPr>
          <w:rFonts w:ascii="Roboto Mono" w:cs="Roboto Mono" w:eastAsia="Roboto Mono" w:hAnsi="Roboto Mono"/>
          <w:color w:val="666666"/>
          <w:sz w:val="18"/>
          <w:szCs w:val="18"/>
        </w:rPr>
        <w:t xml:space="preserve">VERSIÓN TÉCNICA · Agosto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2026-08-20T22:40:29.939Z</dcterms:created>
  <dcterms:modified xsi:type="dcterms:W3CDTF">2026-08-20T22:40:29.940Z</dcterms:modified>
</cp:coreProperties>
</file>

<file path=docProps/custom.xml><?xml version="1.0" encoding="utf-8"?>
<Properties xmlns="http://schemas.openxmlformats.org/officeDocument/2006/custom-properties" xmlns:vt="http://schemas.openxmlformats.org/officeDocument/2006/docPropsVTypes"/>
</file>