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F3864"/>
          <w:sz w:val="36"/>
          <w:szCs w:val="36"/>
        </w:rPr>
        <w:t xml:space="preserve">DESCRIPCIÓN TÉCNICA DE LA OBRA</w:t>
      </w:r>
    </w:p>
    <w:p>
      <w:pPr>
        <w:spacing w:after="80"/>
        <w:jc w:val="center"/>
      </w:pPr>
      <w:r>
        <w:rPr>
          <w:rFonts w:ascii="Calibri" w:cs="Calibri" w:eastAsia="Calibri" w:hAnsi="Calibri"/>
          <w:color w:val="2E74B5"/>
          <w:sz w:val="26"/>
          <w:szCs w:val="26"/>
        </w:rPr>
        <w:t xml:space="preserve">Registro de Programa de Computación — DNDA</w:t>
      </w:r>
    </w:p>
    <w:p>
      <w:pPr>
        <w:spacing w:after="480"/>
        <w:jc w:val="center"/>
      </w:pPr>
      <w:r>
        <w:rPr>
          <w:rFonts w:ascii="Calibri" w:cs="Calibri" w:eastAsia="Calibri" w:hAnsi="Calibri"/>
          <w:i/>
          <w:iCs/>
          <w:color w:val="595959"/>
          <w:sz w:val="22"/>
          <w:szCs w:val="22"/>
        </w:rPr>
        <w:t xml:space="preserve">Dirección Nacional del Derecho de Autor — Trámites a Distancia (TAD)</w:t>
      </w:r>
    </w:p>
    <w:p>
      <w:pPr>
        <w:pBdr>
          <w:bottom w:val="single" w:color="4472C4" w:sz="6"/>
        </w:pBdr>
        <w:spacing w:after="160" w:before="160"/>
      </w:pPr>
      <w:r>
        <w:t xml:space="preserve"/>
      </w:r>
    </w:p>
    <w:p>
      <w:pPr>
        <w:pStyle w:val="Heading1"/>
        <w:spacing w:after="120" w:before="320"/>
      </w:pPr>
      <w:r>
        <w:rPr>
          <w:rFonts w:ascii="Calibri" w:cs="Calibri" w:eastAsia="Calibri" w:hAnsi="Calibri"/>
          <w:b/>
          <w:bCs/>
          <w:color w:val="1F3864"/>
          <w:sz w:val="28"/>
          <w:szCs w:val="28"/>
        </w:rPr>
        <w:t xml:space="preserve">1. Datos identificatorios de la obra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DCE6F1" w:color="auto" w:val="clear"/>
          </w:tcPr>
          <w:p>
            <w:pPr>
              <w:spacing w:after="60" w:before="60"/>
            </w:pPr>
            <w:r>
              <w:rPr>
                <w:rFonts w:ascii="Calibri" w:cs="Calibri" w:eastAsia="Calibri" w:hAnsi="Calibri"/>
                <w:b/>
                <w:bCs/>
                <w:sz w:val="22"/>
                <w:szCs w:val="22"/>
              </w:rPr>
              <w:t xml:space="preserve">Nombre de la obra</w:t>
            </w:r>
          </w:p>
        </w:tc>
        <w:tc>
          <w:tcPr>
            <w:tcW w:type="dxa" w:w="6660"/>
          </w:tcPr>
          <w:p>
            <w:pPr>
              <w:spacing w:after="60" w:before="60"/>
            </w:pPr>
            <w:r>
              <w:rPr>
                <w:rFonts w:ascii="Calibri" w:cs="Calibri" w:eastAsia="Calibri" w:hAnsi="Calibri"/>
                <w:sz w:val="22"/>
                <w:szCs w:val="22"/>
              </w:rPr>
              <w:t xml:space="preserve">NotificAR Clara</w:t>
            </w:r>
          </w:p>
        </w:tc>
      </w:tr>
      <w:tr>
        <w:tc>
          <w:tcPr>
            <w:tcW w:type="dxa" w:w="2700"/>
            <w:shd w:fill="DCE6F1" w:color="auto" w:val="clear"/>
          </w:tcPr>
          <w:p>
            <w:pPr>
              <w:spacing w:after="60" w:before="60"/>
            </w:pPr>
            <w:r>
              <w:rPr>
                <w:rFonts w:ascii="Calibri" w:cs="Calibri" w:eastAsia="Calibri" w:hAnsi="Calibri"/>
                <w:b/>
                <w:bCs/>
                <w:sz w:val="22"/>
                <w:szCs w:val="22"/>
              </w:rPr>
              <w:t xml:space="preserve">Tipo de obra</w:t>
            </w:r>
          </w:p>
        </w:tc>
        <w:tc>
          <w:tcPr>
            <w:tcW w:type="dxa" w:w="6660"/>
          </w:tcPr>
          <w:p>
            <w:pPr>
              <w:spacing w:after="60" w:before="60"/>
            </w:pPr>
            <w:r>
              <w:rPr>
                <w:rFonts w:ascii="Calibri" w:cs="Calibri" w:eastAsia="Calibri" w:hAnsi="Calibri"/>
                <w:sz w:val="22"/>
                <w:szCs w:val="22"/>
              </w:rPr>
              <w:t xml:space="preserve">Programa de computación (software)</w:t>
            </w:r>
          </w:p>
        </w:tc>
      </w:tr>
      <w:tr>
        <w:tc>
          <w:tcPr>
            <w:tcW w:type="dxa" w:w="2700"/>
            <w:shd w:fill="DCE6F1" w:color="auto" w:val="clear"/>
          </w:tcPr>
          <w:p>
            <w:pPr>
              <w:spacing w:after="60" w:before="60"/>
            </w:pPr>
            <w:r>
              <w:rPr>
                <w:rFonts w:ascii="Calibri" w:cs="Calibri" w:eastAsia="Calibri" w:hAnsi="Calibri"/>
                <w:b/>
                <w:bCs/>
                <w:sz w:val="22"/>
                <w:szCs w:val="22"/>
              </w:rPr>
              <w:t xml:space="preserve">Naturaleza de la autoría</w:t>
            </w:r>
          </w:p>
        </w:tc>
        <w:tc>
          <w:tcPr>
            <w:tcW w:type="dxa" w:w="6660"/>
          </w:tcPr>
          <w:p>
            <w:pPr>
              <w:spacing w:after="60" w:before="60"/>
            </w:pPr>
            <w:r>
              <w:rPr>
                <w:rFonts w:ascii="Calibri" w:cs="Calibri" w:eastAsia="Calibri" w:hAnsi="Calibri"/>
                <w:sz w:val="22"/>
                <w:szCs w:val="22"/>
              </w:rPr>
              <w:t xml:space="preserve">Obra en coautoría</w:t>
            </w:r>
          </w:p>
        </w:tc>
      </w:tr>
      <w:tr>
        <w:tc>
          <w:tcPr>
            <w:tcW w:type="dxa" w:w="2700"/>
            <w:shd w:fill="DCE6F1" w:color="auto" w:val="clear"/>
          </w:tcPr>
          <w:p>
            <w:pPr>
              <w:spacing w:after="60" w:before="60"/>
            </w:pPr>
            <w:r>
              <w:rPr>
                <w:rFonts w:ascii="Calibri" w:cs="Calibri" w:eastAsia="Calibri" w:hAnsi="Calibri"/>
                <w:b/>
                <w:bCs/>
                <w:sz w:val="22"/>
                <w:szCs w:val="22"/>
              </w:rPr>
              <w:t xml:space="preserve">Versión registrada</w:t>
            </w:r>
          </w:p>
        </w:tc>
        <w:tc>
          <w:tcPr>
            <w:tcW w:type="dxa" w:w="6660"/>
          </w:tcPr>
          <w:p>
            <w:pPr>
              <w:spacing w:after="60" w:before="60"/>
            </w:pPr>
            <w:r>
              <w:rPr>
                <w:rFonts w:ascii="Calibri" w:cs="Calibri" w:eastAsia="Calibri" w:hAnsi="Calibri"/>
                <w:sz w:val="22"/>
                <w:szCs w:val="22"/>
              </w:rPr>
              <w:t xml:space="preserve">v0.5 (versión piloto/beta)</w:t>
            </w:r>
          </w:p>
        </w:tc>
      </w:tr>
      <w:tr>
        <w:tc>
          <w:tcPr>
            <w:tcW w:type="dxa" w:w="2700"/>
            <w:shd w:fill="DCE6F1" w:color="auto" w:val="clear"/>
          </w:tcPr>
          <w:p>
            <w:pPr>
              <w:spacing w:after="60" w:before="60"/>
            </w:pPr>
            <w:r>
              <w:rPr>
                <w:rFonts w:ascii="Calibri" w:cs="Calibri" w:eastAsia="Calibri" w:hAnsi="Calibri"/>
                <w:b/>
                <w:bCs/>
                <w:sz w:val="22"/>
                <w:szCs w:val="22"/>
              </w:rPr>
              <w:t xml:space="preserve">Fecha de 1.ª publicación</w:t>
            </w:r>
          </w:p>
        </w:tc>
        <w:tc>
          <w:tcPr>
            <w:tcW w:type="dxa" w:w="6660"/>
          </w:tcPr>
          <w:p>
            <w:pPr>
              <w:spacing w:after="60" w:before="60"/>
            </w:pPr>
            <w:r>
              <w:rPr>
                <w:rFonts w:ascii="Calibri" w:cs="Calibri" w:eastAsia="Calibri" w:hAnsi="Calibri"/>
                <w:sz w:val="22"/>
                <w:szCs w:val="22"/>
              </w:rPr>
              <w:t xml:space="preserve">9 de agosto de 2026</w:t>
            </w:r>
          </w:p>
        </w:tc>
      </w:tr>
      <w:tr>
        <w:tc>
          <w:tcPr>
            <w:tcW w:type="dxa" w:w="2700"/>
            <w:shd w:fill="DCE6F1" w:color="auto" w:val="clear"/>
          </w:tcPr>
          <w:p>
            <w:pPr>
              <w:spacing w:after="60" w:before="60"/>
            </w:pPr>
            <w:r>
              <w:rPr>
                <w:rFonts w:ascii="Calibri" w:cs="Calibri" w:eastAsia="Calibri" w:hAnsi="Calibri"/>
                <w:b/>
                <w:bCs/>
                <w:sz w:val="22"/>
                <w:szCs w:val="22"/>
              </w:rPr>
              <w:t xml:space="preserve">URL pública</w:t>
            </w:r>
          </w:p>
        </w:tc>
        <w:tc>
          <w:tcPr>
            <w:tcW w:type="dxa" w:w="6660"/>
          </w:tcPr>
          <w:p>
            <w:pPr>
              <w:spacing w:after="60" w:before="60"/>
            </w:pPr>
            <w:r>
              <w:rPr>
                <w:rFonts w:ascii="Calibri" w:cs="Calibri" w:eastAsia="Calibri" w:hAnsi="Calibri"/>
                <w:sz w:val="22"/>
                <w:szCs w:val="22"/>
              </w:rPr>
              <w:t xml:space="preserve">https://notificar-clara.vercel.app</w:t>
            </w:r>
          </w:p>
        </w:tc>
      </w:tr>
      <w:tr>
        <w:tc>
          <w:tcPr>
            <w:tcW w:type="dxa" w:w="2700"/>
            <w:shd w:fill="DCE6F1" w:color="auto" w:val="clear"/>
          </w:tcPr>
          <w:p>
            <w:pPr>
              <w:spacing w:after="60" w:before="60"/>
            </w:pPr>
            <w:r>
              <w:rPr>
                <w:rFonts w:ascii="Calibri" w:cs="Calibri" w:eastAsia="Calibri" w:hAnsi="Calibri"/>
                <w:b/>
                <w:bCs/>
                <w:sz w:val="22"/>
                <w:szCs w:val="22"/>
              </w:rPr>
              <w:t xml:space="preserve">Repositorio de código</w:t>
            </w:r>
          </w:p>
        </w:tc>
        <w:tc>
          <w:tcPr>
            <w:tcW w:type="dxa" w:w="6660"/>
          </w:tcPr>
          <w:p>
            <w:pPr>
              <w:spacing w:after="60" w:before="60"/>
            </w:pPr>
            <w:r>
              <w:rPr>
                <w:rFonts w:ascii="Calibri" w:cs="Calibri" w:eastAsia="Calibri" w:hAnsi="Calibri"/>
                <w:sz w:val="22"/>
                <w:szCs w:val="22"/>
              </w:rPr>
              <w:t xml:space="preserve">https://github.com/drfontana-arch/notificar-clara</w:t>
            </w:r>
          </w:p>
        </w:tc>
      </w:tr>
      <w:tr>
        <w:tc>
          <w:tcPr>
            <w:tcW w:type="dxa" w:w="2700"/>
            <w:shd w:fill="DCE6F1" w:color="auto" w:val="clear"/>
          </w:tcPr>
          <w:p>
            <w:pPr>
              <w:spacing w:after="60" w:before="60"/>
            </w:pPr>
            <w:r>
              <w:rPr>
                <w:rFonts w:ascii="Calibri" w:cs="Calibri" w:eastAsia="Calibri" w:hAnsi="Calibri"/>
                <w:b/>
                <w:bCs/>
                <w:sz w:val="22"/>
                <w:szCs w:val="22"/>
              </w:rPr>
              <w:t xml:space="preserve">País de primera publicación</w:t>
            </w:r>
          </w:p>
        </w:tc>
        <w:tc>
          <w:tcPr>
            <w:tcW w:type="dxa" w:w="6660"/>
          </w:tcPr>
          <w:p>
            <w:pPr>
              <w:spacing w:after="60" w:before="60"/>
            </w:pPr>
            <w:r>
              <w:rPr>
                <w:rFonts w:ascii="Calibri" w:cs="Calibri" w:eastAsia="Calibri" w:hAnsi="Calibri"/>
                <w:sz w:val="22"/>
                <w:szCs w:val="22"/>
              </w:rPr>
              <w:t xml:space="preserve">Argentina</w:t>
            </w:r>
          </w:p>
        </w:tc>
      </w:tr>
      <w:tr>
        <w:tc>
          <w:tcPr>
            <w:tcW w:type="dxa" w:w="2700"/>
            <w:shd w:fill="DCE6F1" w:color="auto" w:val="clear"/>
          </w:tcPr>
          <w:p>
            <w:pPr>
              <w:spacing w:after="60" w:before="60"/>
            </w:pPr>
            <w:r>
              <w:rPr>
                <w:rFonts w:ascii="Calibri" w:cs="Calibri" w:eastAsia="Calibri" w:hAnsi="Calibri"/>
                <w:b/>
                <w:bCs/>
                <w:sz w:val="22"/>
                <w:szCs w:val="22"/>
              </w:rPr>
              <w:t xml:space="preserve">Modo de depósito</w:t>
            </w:r>
          </w:p>
        </w:tc>
        <w:tc>
          <w:tcPr>
            <w:tcW w:type="dxa" w:w="6660"/>
          </w:tcPr>
          <w:p>
            <w:pPr>
              <w:spacing w:after="60" w:before="60"/>
            </w:pPr>
            <w:r>
              <w:rPr>
                <w:rFonts w:ascii="Calibri" w:cs="Calibri" w:eastAsia="Calibri" w:hAnsi="Calibri"/>
                <w:sz w:val="22"/>
                <w:szCs w:val="22"/>
              </w:rPr>
              <w:t xml:space="preserve">Digital</w:t>
            </w:r>
          </w:p>
        </w:tc>
      </w:tr>
    </w:tbl>
    <w:p>
      <w:pPr>
        <w:spacing w:after="80"/>
      </w:pPr>
      <w:r>
        <w:t xml:space="preserve"/>
      </w:r>
    </w:p>
    <w:p>
      <w:pPr>
        <w:pStyle w:val="Heading1"/>
        <w:spacing w:after="120" w:before="320"/>
      </w:pPr>
      <w:r>
        <w:rPr>
          <w:rFonts w:ascii="Calibri" w:cs="Calibri" w:eastAsia="Calibri" w:hAnsi="Calibri"/>
          <w:b/>
          <w:bCs/>
          <w:color w:val="1F3864"/>
          <w:sz w:val="28"/>
          <w:szCs w:val="28"/>
        </w:rPr>
        <w:t xml:space="preserve">2. Autores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DCE6F1" w:color="auto" w:val="clear"/>
          </w:tcPr>
          <w:p>
            <w:pPr>
              <w:spacing w:after="60" w:before="60"/>
            </w:pPr>
            <w:r>
              <w:rPr>
                <w:rFonts w:ascii="Calibri" w:cs="Calibri" w:eastAsia="Calibri" w:hAnsi="Calibri"/>
                <w:b/>
                <w:bCs/>
                <w:sz w:val="22"/>
                <w:szCs w:val="22"/>
              </w:rPr>
              <w:t xml:space="preserve">Autor 1 — Nombre completo</w:t>
            </w:r>
          </w:p>
        </w:tc>
        <w:tc>
          <w:tcPr>
            <w:tcW w:type="dxa" w:w="6660"/>
          </w:tcPr>
          <w:p>
            <w:pPr>
              <w:spacing w:after="60" w:before="60"/>
            </w:pPr>
            <w:r>
              <w:rPr>
                <w:rFonts w:ascii="Calibri" w:cs="Calibri" w:eastAsia="Calibri" w:hAnsi="Calibri"/>
                <w:sz w:val="22"/>
                <w:szCs w:val="22"/>
              </w:rPr>
              <w:t xml:space="preserve">Enzo Fontana</w:t>
            </w:r>
          </w:p>
        </w:tc>
      </w:tr>
      <w:tr>
        <w:tc>
          <w:tcPr>
            <w:tcW w:type="dxa" w:w="2700"/>
            <w:shd w:fill="DCE6F1" w:color="auto" w:val="clear"/>
          </w:tcPr>
          <w:p>
            <w:pPr>
              <w:spacing w:after="60" w:before="60"/>
            </w:pPr>
            <w:r>
              <w:rPr>
                <w:rFonts w:ascii="Calibri" w:cs="Calibri" w:eastAsia="Calibri" w:hAnsi="Calibri"/>
                <w:b/>
                <w:bCs/>
                <w:sz w:val="22"/>
                <w:szCs w:val="22"/>
              </w:rPr>
              <w:t xml:space="preserve">Rol</w:t>
            </w:r>
          </w:p>
        </w:tc>
        <w:tc>
          <w:tcPr>
            <w:tcW w:type="dxa" w:w="6660"/>
          </w:tcPr>
          <w:p>
            <w:pPr>
              <w:spacing w:after="60" w:before="60"/>
            </w:pPr>
            <w:r>
              <w:rPr>
                <w:rFonts w:ascii="Calibri" w:cs="Calibri" w:eastAsia="Calibri" w:hAnsi="Calibri"/>
                <w:sz w:val="22"/>
                <w:szCs w:val="22"/>
              </w:rPr>
              <w:t xml:space="preserve">Diseño, desarrollo e implementación técnica</w:t>
            </w:r>
          </w:p>
        </w:tc>
      </w:tr>
      <w:tr>
        <w:tc>
          <w:tcPr>
            <w:tcW w:type="dxa" w:w="2700"/>
            <w:shd w:fill="DCE6F1" w:color="auto" w:val="clear"/>
          </w:tcPr>
          <w:p>
            <w:pPr>
              <w:spacing w:after="60" w:before="60"/>
            </w:pPr>
            <w:r>
              <w:rPr>
                <w:rFonts w:ascii="Calibri" w:cs="Calibri" w:eastAsia="Calibri" w:hAnsi="Calibri"/>
                <w:b/>
                <w:bCs/>
                <w:sz w:val="22"/>
                <w:szCs w:val="22"/>
              </w:rPr>
              <w:t xml:space="preserve">Domicilio</w:t>
            </w:r>
          </w:p>
        </w:tc>
        <w:tc>
          <w:tcPr>
            <w:tcW w:type="dxa" w:w="6660"/>
          </w:tcPr>
          <w:p>
            <w:pPr>
              <w:spacing w:after="60" w:before="60"/>
            </w:pPr>
            <w:r>
              <w:rPr>
                <w:rFonts w:ascii="Calibri" w:cs="Calibri" w:eastAsia="Calibri" w:hAnsi="Calibri"/>
                <w:sz w:val="22"/>
                <w:szCs w:val="22"/>
              </w:rPr>
              <w:t xml:space="preserve">Necochea, Buenos Aires, Argentina</w:t>
            </w:r>
          </w:p>
        </w:tc>
      </w:tr>
      <w:tr>
        <w:tc>
          <w:tcPr>
            <w:tcW w:type="dxa" w:w="2700"/>
            <w:shd w:fill="DCE6F1" w:color="auto" w:val="clear"/>
          </w:tcPr>
          <w:p>
            <w:pPr>
              <w:spacing w:after="60" w:before="60"/>
            </w:pPr>
            <w:r>
              <w:rPr>
                <w:rFonts w:ascii="Calibri" w:cs="Calibri" w:eastAsia="Calibri" w:hAnsi="Calibri"/>
                <w:b/>
                <w:bCs/>
                <w:sz w:val="22"/>
                <w:szCs w:val="22"/>
              </w:rPr>
              <w:t xml:space="preserve"/>
            </w:r>
          </w:p>
        </w:tc>
        <w:tc>
          <w:tcPr>
            <w:tcW w:type="dxa" w:w="6660"/>
          </w:tcPr>
          <w:p>
            <w:pPr>
              <w:spacing w:after="60" w:before="60"/>
            </w:pPr>
            <w:r>
              <w:rPr>
                <w:rFonts w:ascii="Calibri" w:cs="Calibri" w:eastAsia="Calibri" w:hAnsi="Calibri"/>
                <w:sz w:val="22"/>
                <w:szCs w:val="22"/>
              </w:rPr>
              <w:t xml:space="preserve"/>
            </w:r>
          </w:p>
        </w:tc>
      </w:tr>
      <w:tr>
        <w:tc>
          <w:tcPr>
            <w:tcW w:type="dxa" w:w="2700"/>
            <w:shd w:fill="DCE6F1" w:color="auto" w:val="clear"/>
          </w:tcPr>
          <w:p>
            <w:pPr>
              <w:spacing w:after="60" w:before="60"/>
            </w:pPr>
            <w:r>
              <w:rPr>
                <w:rFonts w:ascii="Calibri" w:cs="Calibri" w:eastAsia="Calibri" w:hAnsi="Calibri"/>
                <w:b/>
                <w:bCs/>
                <w:sz w:val="22"/>
                <w:szCs w:val="22"/>
              </w:rPr>
              <w:t xml:space="preserve">Autor 2 — Nombre completo</w:t>
            </w:r>
          </w:p>
        </w:tc>
        <w:tc>
          <w:tcPr>
            <w:tcW w:type="dxa" w:w="6660"/>
          </w:tcPr>
          <w:p>
            <w:pPr>
              <w:spacing w:after="60" w:before="60"/>
            </w:pPr>
            <w:r>
              <w:rPr>
                <w:rFonts w:ascii="Calibri" w:cs="Calibri" w:eastAsia="Calibri" w:hAnsi="Calibri"/>
                <w:sz w:val="22"/>
                <w:szCs w:val="22"/>
              </w:rPr>
              <w:t xml:space="preserve">Laura Bulesevich</w:t>
            </w:r>
          </w:p>
        </w:tc>
      </w:tr>
      <w:tr>
        <w:tc>
          <w:tcPr>
            <w:tcW w:type="dxa" w:w="2700"/>
            <w:shd w:fill="DCE6F1" w:color="auto" w:val="clear"/>
          </w:tcPr>
          <w:p>
            <w:pPr>
              <w:spacing w:after="60" w:before="60"/>
            </w:pPr>
            <w:r>
              <w:rPr>
                <w:rFonts w:ascii="Calibri" w:cs="Calibri" w:eastAsia="Calibri" w:hAnsi="Calibri"/>
                <w:b/>
                <w:bCs/>
                <w:sz w:val="22"/>
                <w:szCs w:val="22"/>
              </w:rPr>
              <w:t xml:space="preserve">Rol</w:t>
            </w:r>
          </w:p>
        </w:tc>
        <w:tc>
          <w:tcPr>
            <w:tcW w:type="dxa" w:w="6660"/>
          </w:tcPr>
          <w:p>
            <w:pPr>
              <w:spacing w:after="60" w:before="60"/>
            </w:pPr>
            <w:r>
              <w:rPr>
                <w:rFonts w:ascii="Calibri" w:cs="Calibri" w:eastAsia="Calibri" w:hAnsi="Calibri"/>
                <w:sz w:val="22"/>
                <w:szCs w:val="22"/>
              </w:rPr>
              <w:t xml:space="preserve">Diseño conceptual, metodología y enfoque jurídico-lingüístico</w:t>
            </w:r>
          </w:p>
        </w:tc>
      </w:tr>
      <w:tr>
        <w:tc>
          <w:tcPr>
            <w:tcW w:type="dxa" w:w="2700"/>
            <w:shd w:fill="DCE6F1" w:color="auto" w:val="clear"/>
          </w:tcPr>
          <w:p>
            <w:pPr>
              <w:spacing w:after="60" w:before="60"/>
            </w:pPr>
            <w:r>
              <w:rPr>
                <w:rFonts w:ascii="Calibri" w:cs="Calibri" w:eastAsia="Calibri" w:hAnsi="Calibri"/>
                <w:b/>
                <w:bCs/>
                <w:sz w:val="22"/>
                <w:szCs w:val="22"/>
              </w:rPr>
              <w:t xml:space="preserve">Domicilio</w:t>
            </w:r>
          </w:p>
        </w:tc>
        <w:tc>
          <w:tcPr>
            <w:tcW w:type="dxa" w:w="6660"/>
          </w:tcPr>
          <w:p>
            <w:pPr>
              <w:spacing w:after="60" w:before="60"/>
            </w:pPr>
            <w:r>
              <w:rPr>
                <w:rFonts w:ascii="Calibri" w:cs="Calibri" w:eastAsia="Calibri" w:hAnsi="Calibri"/>
                <w:sz w:val="22"/>
                <w:szCs w:val="22"/>
              </w:rPr>
              <w:t xml:space="preserve">Necochea, Buenos Aires, Argentina</w:t>
            </w:r>
          </w:p>
        </w:tc>
      </w:tr>
    </w:tbl>
    <w:p>
      <w:pPr>
        <w:spacing w:after="80"/>
      </w:pPr>
      <w:r>
        <w:t xml:space="preserve"/>
      </w:r>
    </w:p>
    <w:p>
      <w:pPr>
        <w:pStyle w:val="Heading1"/>
        <w:spacing w:after="120" w:before="320"/>
      </w:pPr>
      <w:r>
        <w:rPr>
          <w:rFonts w:ascii="Calibri" w:cs="Calibri" w:eastAsia="Calibri" w:hAnsi="Calibri"/>
          <w:b/>
          <w:bCs/>
          <w:color w:val="1F3864"/>
          <w:sz w:val="28"/>
          <w:szCs w:val="28"/>
        </w:rPr>
        <w:t xml:space="preserve">3. Institución de origen</w:t>
      </w:r>
    </w:p>
    <w:p>
      <w:pPr>
        <w:spacing w:after="80"/>
      </w:pPr>
      <w:r>
        <w:t xml:space="preserve"/>
      </w:r>
    </w:p>
    <w:p>
      <w:pPr>
        <w:spacing w:after="120"/>
      </w:pPr>
      <w:r>
        <w:rPr>
          <w:rFonts w:ascii="Calibri" w:cs="Calibri" w:eastAsia="Calibri" w:hAnsi="Calibri"/>
          <w:sz w:val="22"/>
          <w:szCs w:val="22"/>
        </w:rPr>
        <w:t xml:space="preserve">NotificAR Clara fue desarrollada en el marco de la Defensoría General de Necochea (Buenos Aires), Unidad de Letrados Funcionales N.° 6. Su finalidad es institucional: garantizar el acceso a la justicia mediante la transformación de notificaciones judiciales a lenguaje claro, en cumplimiento de la Resolución SC 1131/26.</w:t>
      </w:r>
    </w:p>
    <w:p>
      <w:pPr>
        <w:spacing w:after="80"/>
      </w:pPr>
      <w:r>
        <w:t xml:space="preserve"/>
      </w:r>
    </w:p>
    <w:p>
      <w:pPr>
        <w:pStyle w:val="Heading1"/>
        <w:spacing w:after="120" w:before="320"/>
      </w:pPr>
      <w:r>
        <w:rPr>
          <w:rFonts w:ascii="Calibri" w:cs="Calibri" w:eastAsia="Calibri" w:hAnsi="Calibri"/>
          <w:b/>
          <w:bCs/>
          <w:color w:val="1F3864"/>
          <w:sz w:val="28"/>
          <w:szCs w:val="28"/>
        </w:rPr>
        <w:t xml:space="preserve">4. Descripción general</w:t>
      </w:r>
    </w:p>
    <w:p>
      <w:pPr>
        <w:spacing w:after="80"/>
      </w:pPr>
      <w:r>
        <w:t xml:space="preserve"/>
      </w:r>
    </w:p>
    <w:p>
      <w:pPr>
        <w:spacing w:after="120"/>
      </w:pPr>
      <w:r>
        <w:rPr>
          <w:rFonts w:ascii="Calibri" w:cs="Calibri" w:eastAsia="Calibri" w:hAnsi="Calibri"/>
          <w:sz w:val="22"/>
          <w:szCs w:val="22"/>
        </w:rPr>
        <w:t xml:space="preserve">NotificAR Clara es una aplicación web de acceso libre que transforma notificaciones judiciales redactadas en lenguaje jurídico técnico en textos comprensibles para sus destinatarios. El sistema genera versiones adaptadas según el tipo de acto procesal, el perfil del destinatario y las necesidades derivadas de posibles discapacidades comunicativas, en cumplimiento de los estándares de lenguaje claro y accesibilidad promovidos por la normativa vigente.</w:t>
      </w:r>
    </w:p>
    <w:p>
      <w:pPr>
        <w:spacing w:after="120"/>
      </w:pPr>
      <w:r>
        <w:rPr>
          <w:rFonts w:ascii="Calibri" w:cs="Calibri" w:eastAsia="Calibri" w:hAnsi="Calibri"/>
          <w:sz w:val="22"/>
          <w:szCs w:val="22"/>
        </w:rPr>
        <w:t xml:space="preserve">La aplicación se encuentra en producción y en uso activo en la Defensoría General de Necochea desde el 9 de agosto de 2026, bajo la URL pública https://notificar-clara.vercel.app.</w:t>
      </w:r>
    </w:p>
    <w:p>
      <w:pPr>
        <w:spacing w:after="80"/>
      </w:pPr>
      <w:r>
        <w:t xml:space="preserve"/>
      </w:r>
    </w:p>
    <w:p>
      <w:pPr>
        <w:pStyle w:val="Heading1"/>
        <w:spacing w:after="120" w:before="320"/>
      </w:pPr>
      <w:r>
        <w:rPr>
          <w:rFonts w:ascii="Calibri" w:cs="Calibri" w:eastAsia="Calibri" w:hAnsi="Calibri"/>
          <w:b/>
          <w:bCs/>
          <w:color w:val="1F3864"/>
          <w:sz w:val="28"/>
          <w:szCs w:val="28"/>
        </w:rPr>
        <w:t xml:space="preserve">5. Marco normativo</w:t>
      </w:r>
    </w:p>
    <w:p>
      <w:pPr>
        <w:spacing w:after="80"/>
      </w:pPr>
      <w:r>
        <w:t xml:space="preserve"/>
      </w:r>
    </w:p>
    <w:p>
      <w:pPr>
        <w:pStyle w:val="ListParagraph"/>
        <w:numPr>
          <w:ilvl w:val="0"/>
          <w:numId w:val="2"/>
        </w:numPr>
        <w:spacing w:after="80"/>
      </w:pPr>
      <w:r>
        <w:rPr>
          <w:rFonts w:ascii="Calibri" w:cs="Calibri" w:eastAsia="Calibri" w:hAnsi="Calibri"/>
          <w:sz w:val="22"/>
          <w:szCs w:val="22"/>
        </w:rPr>
        <w:t xml:space="preserve">Resolución SC 1131/26 (Lenguaje Claro en el Poder Judicial de la Provincia de Buenos Aires)</w:t>
      </w:r>
    </w:p>
    <w:p>
      <w:pPr>
        <w:pStyle w:val="ListParagraph"/>
        <w:numPr>
          <w:ilvl w:val="0"/>
          <w:numId w:val="2"/>
        </w:numPr>
        <w:spacing w:after="80"/>
      </w:pPr>
      <w:r>
        <w:rPr>
          <w:rFonts w:ascii="Calibri" w:cs="Calibri" w:eastAsia="Calibri" w:hAnsi="Calibri"/>
          <w:sz w:val="22"/>
          <w:szCs w:val="22"/>
        </w:rPr>
        <w:t xml:space="preserve">Convención sobre los Derechos de las Personas con Discapacidad (ONU), ratificada por Argentina mediante Ley 26.378</w:t>
      </w:r>
    </w:p>
    <w:p>
      <w:pPr>
        <w:pStyle w:val="ListParagraph"/>
        <w:numPr>
          <w:ilvl w:val="0"/>
          <w:numId w:val="2"/>
        </w:numPr>
        <w:spacing w:after="80"/>
      </w:pPr>
      <w:r>
        <w:rPr>
          <w:rFonts w:ascii="Calibri" w:cs="Calibri" w:eastAsia="Calibri" w:hAnsi="Calibri"/>
          <w:sz w:val="22"/>
          <w:szCs w:val="22"/>
        </w:rPr>
        <w:t xml:space="preserve">Ley Nacional 26.522 — Servicios de Comunicación Audiovisual (accesibilidad comunicacional)</w:t>
      </w:r>
    </w:p>
    <w:p>
      <w:pPr>
        <w:pStyle w:val="ListParagraph"/>
        <w:numPr>
          <w:ilvl w:val="0"/>
          <w:numId w:val="2"/>
        </w:numPr>
        <w:spacing w:after="80"/>
      </w:pPr>
      <w:r>
        <w:rPr>
          <w:rFonts w:ascii="Calibri" w:cs="Calibri" w:eastAsia="Calibri" w:hAnsi="Calibri"/>
          <w:sz w:val="22"/>
          <w:szCs w:val="22"/>
        </w:rPr>
        <w:t xml:space="preserve">Principios de Accesibilidad Web WCAG 2.1 — nivel AA</w:t>
      </w:r>
    </w:p>
    <w:p>
      <w:pPr>
        <w:spacing w:after="80"/>
      </w:pPr>
      <w:r>
        <w:t xml:space="preserve"/>
      </w:r>
    </w:p>
    <w:p>
      <w:pPr>
        <w:pStyle w:val="Heading1"/>
        <w:spacing w:after="120" w:before="320"/>
      </w:pPr>
      <w:r>
        <w:rPr>
          <w:rFonts w:ascii="Calibri" w:cs="Calibri" w:eastAsia="Calibri" w:hAnsi="Calibri"/>
          <w:b/>
          <w:bCs/>
          <w:color w:val="1F3864"/>
          <w:sz w:val="28"/>
          <w:szCs w:val="28"/>
        </w:rPr>
        <w:t xml:space="preserve">6. Arquitectura técnica</w:t>
      </w:r>
    </w:p>
    <w:p>
      <w:pPr>
        <w:spacing w:after="80"/>
      </w:pPr>
      <w:r>
        <w:t xml:space="preserve"/>
      </w:r>
    </w:p>
    <w:p>
      <w:pPr>
        <w:pStyle w:val="Heading2"/>
        <w:pBdr>
          <w:bottom w:val="single" w:color="4472C4" w:sz="4"/>
        </w:pBdr>
        <w:spacing w:after="80" w:before="240"/>
      </w:pPr>
      <w:r>
        <w:rPr>
          <w:rFonts w:ascii="Calibri" w:cs="Calibri" w:eastAsia="Calibri" w:hAnsi="Calibri"/>
          <w:b/>
          <w:bCs/>
          <w:color w:val="2E74B5"/>
          <w:sz w:val="24"/>
          <w:szCs w:val="24"/>
        </w:rPr>
        <w:t xml:space="preserve">6.1 Stack tecnológico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DCE6F1" w:color="auto" w:val="clear"/>
          </w:tcPr>
          <w:p>
            <w:pPr>
              <w:spacing w:after="60" w:before="60"/>
            </w:pPr>
            <w:r>
              <w:rPr>
                <w:rFonts w:ascii="Calibri" w:cs="Calibri" w:eastAsia="Calibri" w:hAnsi="Calibri"/>
                <w:b/>
                <w:bCs/>
                <w:sz w:val="22"/>
                <w:szCs w:val="22"/>
              </w:rPr>
              <w:t xml:space="preserve">Paradigma</w:t>
            </w:r>
          </w:p>
        </w:tc>
        <w:tc>
          <w:tcPr>
            <w:tcW w:type="dxa" w:w="6660"/>
          </w:tcPr>
          <w:p>
            <w:pPr>
              <w:spacing w:after="60" w:before="60"/>
            </w:pPr>
            <w:r>
              <w:rPr>
                <w:rFonts w:ascii="Calibri" w:cs="Calibri" w:eastAsia="Calibri" w:hAnsi="Calibri"/>
                <w:sz w:val="22"/>
                <w:szCs w:val="22"/>
              </w:rPr>
              <w:t xml:space="preserve">Aplicación web full-stack con renderizado del lado del servidor (SSR)</w:t>
            </w:r>
          </w:p>
        </w:tc>
      </w:tr>
      <w:tr>
        <w:tc>
          <w:tcPr>
            <w:tcW w:type="dxa" w:w="2700"/>
            <w:shd w:fill="DCE6F1" w:color="auto" w:val="clear"/>
          </w:tcPr>
          <w:p>
            <w:pPr>
              <w:spacing w:after="60" w:before="60"/>
            </w:pPr>
            <w:r>
              <w:rPr>
                <w:rFonts w:ascii="Calibri" w:cs="Calibri" w:eastAsia="Calibri" w:hAnsi="Calibri"/>
                <w:b/>
                <w:bCs/>
                <w:sz w:val="22"/>
                <w:szCs w:val="22"/>
              </w:rPr>
              <w:t xml:space="preserve">Framework principal</w:t>
            </w:r>
          </w:p>
        </w:tc>
        <w:tc>
          <w:tcPr>
            <w:tcW w:type="dxa" w:w="6660"/>
          </w:tcPr>
          <w:p>
            <w:pPr>
              <w:spacing w:after="60" w:before="60"/>
            </w:pPr>
            <w:r>
              <w:rPr>
                <w:rFonts w:ascii="Calibri" w:cs="Calibri" w:eastAsia="Calibri" w:hAnsi="Calibri"/>
                <w:sz w:val="22"/>
                <w:szCs w:val="22"/>
              </w:rPr>
              <w:t xml:space="preserve">Next.js 14.2.5 (App Router)</w:t>
            </w:r>
          </w:p>
        </w:tc>
      </w:tr>
      <w:tr>
        <w:tc>
          <w:tcPr>
            <w:tcW w:type="dxa" w:w="2700"/>
            <w:shd w:fill="DCE6F1" w:color="auto" w:val="clear"/>
          </w:tcPr>
          <w:p>
            <w:pPr>
              <w:spacing w:after="60" w:before="60"/>
            </w:pPr>
            <w:r>
              <w:rPr>
                <w:rFonts w:ascii="Calibri" w:cs="Calibri" w:eastAsia="Calibri" w:hAnsi="Calibri"/>
                <w:b/>
                <w:bCs/>
                <w:sz w:val="22"/>
                <w:szCs w:val="22"/>
              </w:rPr>
              <w:t xml:space="preserve">Biblioteca de UI</w:t>
            </w:r>
          </w:p>
        </w:tc>
        <w:tc>
          <w:tcPr>
            <w:tcW w:type="dxa" w:w="6660"/>
          </w:tcPr>
          <w:p>
            <w:pPr>
              <w:spacing w:after="60" w:before="60"/>
            </w:pPr>
            <w:r>
              <w:rPr>
                <w:rFonts w:ascii="Calibri" w:cs="Calibri" w:eastAsia="Calibri" w:hAnsi="Calibri"/>
                <w:sz w:val="22"/>
                <w:szCs w:val="22"/>
              </w:rPr>
              <w:t xml:space="preserve">React 18</w:t>
            </w:r>
          </w:p>
        </w:tc>
      </w:tr>
      <w:tr>
        <w:tc>
          <w:tcPr>
            <w:tcW w:type="dxa" w:w="2700"/>
            <w:shd w:fill="DCE6F1" w:color="auto" w:val="clear"/>
          </w:tcPr>
          <w:p>
            <w:pPr>
              <w:spacing w:after="60" w:before="60"/>
            </w:pPr>
            <w:r>
              <w:rPr>
                <w:rFonts w:ascii="Calibri" w:cs="Calibri" w:eastAsia="Calibri" w:hAnsi="Calibri"/>
                <w:b/>
                <w:bCs/>
                <w:sz w:val="22"/>
                <w:szCs w:val="22"/>
              </w:rPr>
              <w:t xml:space="preserve">Motor de IA</w:t>
            </w:r>
          </w:p>
        </w:tc>
        <w:tc>
          <w:tcPr>
            <w:tcW w:type="dxa" w:w="6660"/>
          </w:tcPr>
          <w:p>
            <w:pPr>
              <w:spacing w:after="60" w:before="60"/>
            </w:pPr>
            <w:r>
              <w:rPr>
                <w:rFonts w:ascii="Calibri" w:cs="Calibri" w:eastAsia="Calibri" w:hAnsi="Calibri"/>
                <w:sz w:val="22"/>
                <w:szCs w:val="22"/>
              </w:rPr>
              <w:t xml:space="preserve">API de Anthropic — Modelo: claude-haiku-4-5-20251001</w:t>
            </w:r>
          </w:p>
        </w:tc>
      </w:tr>
      <w:tr>
        <w:tc>
          <w:tcPr>
            <w:tcW w:type="dxa" w:w="2700"/>
            <w:shd w:fill="DCE6F1" w:color="auto" w:val="clear"/>
          </w:tcPr>
          <w:p>
            <w:pPr>
              <w:spacing w:after="60" w:before="60"/>
            </w:pPr>
            <w:r>
              <w:rPr>
                <w:rFonts w:ascii="Calibri" w:cs="Calibri" w:eastAsia="Calibri" w:hAnsi="Calibri"/>
                <w:b/>
                <w:bCs/>
                <w:sz w:val="22"/>
                <w:szCs w:val="22"/>
              </w:rPr>
              <w:t xml:space="preserve">SDK de IA</w:t>
            </w:r>
          </w:p>
        </w:tc>
        <w:tc>
          <w:tcPr>
            <w:tcW w:type="dxa" w:w="6660"/>
          </w:tcPr>
          <w:p>
            <w:pPr>
              <w:spacing w:after="60" w:before="60"/>
            </w:pPr>
            <w:r>
              <w:rPr>
                <w:rFonts w:ascii="Calibri" w:cs="Calibri" w:eastAsia="Calibri" w:hAnsi="Calibri"/>
                <w:sz w:val="22"/>
                <w:szCs w:val="22"/>
              </w:rPr>
              <w:t xml:space="preserve">@anthropic-ai/sdk v0.24.3</w:t>
            </w:r>
          </w:p>
        </w:tc>
      </w:tr>
      <w:tr>
        <w:tc>
          <w:tcPr>
            <w:tcW w:type="dxa" w:w="2700"/>
            <w:shd w:fill="DCE6F1" w:color="auto" w:val="clear"/>
          </w:tcPr>
          <w:p>
            <w:pPr>
              <w:spacing w:after="60" w:before="60"/>
            </w:pPr>
            <w:r>
              <w:rPr>
                <w:rFonts w:ascii="Calibri" w:cs="Calibri" w:eastAsia="Calibri" w:hAnsi="Calibri"/>
                <w:b/>
                <w:bCs/>
                <w:sz w:val="22"/>
                <w:szCs w:val="22"/>
              </w:rPr>
              <w:t xml:space="preserve">Base de datos</w:t>
            </w:r>
          </w:p>
        </w:tc>
        <w:tc>
          <w:tcPr>
            <w:tcW w:type="dxa" w:w="6660"/>
          </w:tcPr>
          <w:p>
            <w:pPr>
              <w:spacing w:after="60" w:before="60"/>
            </w:pPr>
            <w:r>
              <w:rPr>
                <w:rFonts w:ascii="Calibri" w:cs="Calibri" w:eastAsia="Calibri" w:hAnsi="Calibri"/>
                <w:sz w:val="22"/>
                <w:szCs w:val="22"/>
              </w:rPr>
              <w:t xml:space="preserve">Supabase (PostgreSQL) — @supabase/supabase-js v2.44.4</w:t>
            </w:r>
          </w:p>
        </w:tc>
      </w:tr>
      <w:tr>
        <w:tc>
          <w:tcPr>
            <w:tcW w:type="dxa" w:w="2700"/>
            <w:shd w:fill="DCE6F1" w:color="auto" w:val="clear"/>
          </w:tcPr>
          <w:p>
            <w:pPr>
              <w:spacing w:after="60" w:before="60"/>
            </w:pPr>
            <w:r>
              <w:rPr>
                <w:rFonts w:ascii="Calibri" w:cs="Calibri" w:eastAsia="Calibri" w:hAnsi="Calibri"/>
                <w:b/>
                <w:bCs/>
                <w:sz w:val="22"/>
                <w:szCs w:val="22"/>
              </w:rPr>
              <w:t xml:space="preserve">Generación de QR</w:t>
            </w:r>
          </w:p>
        </w:tc>
        <w:tc>
          <w:tcPr>
            <w:tcW w:type="dxa" w:w="6660"/>
          </w:tcPr>
          <w:p>
            <w:pPr>
              <w:spacing w:after="60" w:before="60"/>
            </w:pPr>
            <w:r>
              <w:rPr>
                <w:rFonts w:ascii="Calibri" w:cs="Calibri" w:eastAsia="Calibri" w:hAnsi="Calibri"/>
                <w:sz w:val="22"/>
                <w:szCs w:val="22"/>
              </w:rPr>
              <w:t xml:space="preserve">Biblioteca qrcode v1.5.4</w:t>
            </w:r>
          </w:p>
        </w:tc>
      </w:tr>
      <w:tr>
        <w:tc>
          <w:tcPr>
            <w:tcW w:type="dxa" w:w="2700"/>
            <w:shd w:fill="DCE6F1" w:color="auto" w:val="clear"/>
          </w:tcPr>
          <w:p>
            <w:pPr>
              <w:spacing w:after="60" w:before="60"/>
            </w:pPr>
            <w:r>
              <w:rPr>
                <w:rFonts w:ascii="Calibri" w:cs="Calibri" w:eastAsia="Calibri" w:hAnsi="Calibri"/>
                <w:b/>
                <w:bCs/>
                <w:sz w:val="22"/>
                <w:szCs w:val="22"/>
              </w:rPr>
              <w:t xml:space="preserve">Identificadores únicos</w:t>
            </w:r>
          </w:p>
        </w:tc>
        <w:tc>
          <w:tcPr>
            <w:tcW w:type="dxa" w:w="6660"/>
          </w:tcPr>
          <w:p>
            <w:pPr>
              <w:spacing w:after="60" w:before="60"/>
            </w:pPr>
            <w:r>
              <w:rPr>
                <w:rFonts w:ascii="Calibri" w:cs="Calibri" w:eastAsia="Calibri" w:hAnsi="Calibri"/>
                <w:sz w:val="22"/>
                <w:szCs w:val="22"/>
              </w:rPr>
              <w:t xml:space="preserve">uuid v10.0.0</w:t>
            </w:r>
          </w:p>
        </w:tc>
      </w:tr>
      <w:tr>
        <w:tc>
          <w:tcPr>
            <w:tcW w:type="dxa" w:w="2700"/>
            <w:shd w:fill="DCE6F1" w:color="auto" w:val="clear"/>
          </w:tcPr>
          <w:p>
            <w:pPr>
              <w:spacing w:after="60" w:before="60"/>
            </w:pPr>
            <w:r>
              <w:rPr>
                <w:rFonts w:ascii="Calibri" w:cs="Calibri" w:eastAsia="Calibri" w:hAnsi="Calibri"/>
                <w:b/>
                <w:bCs/>
                <w:sz w:val="22"/>
                <w:szCs w:val="22"/>
              </w:rPr>
              <w:t xml:space="preserve">Estilos</w:t>
            </w:r>
          </w:p>
        </w:tc>
        <w:tc>
          <w:tcPr>
            <w:tcW w:type="dxa" w:w="6660"/>
          </w:tcPr>
          <w:p>
            <w:pPr>
              <w:spacing w:after="60" w:before="60"/>
            </w:pPr>
            <w:r>
              <w:rPr>
                <w:rFonts w:ascii="Calibri" w:cs="Calibri" w:eastAsia="Calibri" w:hAnsi="Calibri"/>
                <w:sz w:val="22"/>
                <w:szCs w:val="22"/>
              </w:rPr>
              <w:t xml:space="preserve">Tailwind CSS</w:t>
            </w:r>
          </w:p>
        </w:tc>
      </w:tr>
      <w:tr>
        <w:tc>
          <w:tcPr>
            <w:tcW w:type="dxa" w:w="2700"/>
            <w:shd w:fill="DCE6F1" w:color="auto" w:val="clear"/>
          </w:tcPr>
          <w:p>
            <w:pPr>
              <w:spacing w:after="60" w:before="60"/>
            </w:pPr>
            <w:r>
              <w:rPr>
                <w:rFonts w:ascii="Calibri" w:cs="Calibri" w:eastAsia="Calibri" w:hAnsi="Calibri"/>
                <w:b/>
                <w:bCs/>
                <w:sz w:val="22"/>
                <w:szCs w:val="22"/>
              </w:rPr>
              <w:t xml:space="preserve">Despliegue</w:t>
            </w:r>
          </w:p>
        </w:tc>
        <w:tc>
          <w:tcPr>
            <w:tcW w:type="dxa" w:w="6660"/>
          </w:tcPr>
          <w:p>
            <w:pPr>
              <w:spacing w:after="60" w:before="60"/>
            </w:pPr>
            <w:r>
              <w:rPr>
                <w:rFonts w:ascii="Calibri" w:cs="Calibri" w:eastAsia="Calibri" w:hAnsi="Calibri"/>
                <w:sz w:val="22"/>
                <w:szCs w:val="22"/>
              </w:rPr>
              <w:t xml:space="preserve">Vercel (CD automático desde repositorio GitHub)</w:t>
            </w:r>
          </w:p>
        </w:tc>
      </w:tr>
    </w:tbl>
    <w:p>
      <w:pPr>
        <w:spacing w:after="80"/>
      </w:pPr>
      <w:r>
        <w:t xml:space="preserve"/>
      </w:r>
    </w:p>
    <w:p>
      <w:pPr>
        <w:pStyle w:val="Heading2"/>
        <w:pBdr>
          <w:bottom w:val="single" w:color="4472C4" w:sz="4"/>
        </w:pBdr>
        <w:spacing w:after="80" w:before="240"/>
      </w:pPr>
      <w:r>
        <w:rPr>
          <w:rFonts w:ascii="Calibri" w:cs="Calibri" w:eastAsia="Calibri" w:hAnsi="Calibri"/>
          <w:b/>
          <w:bCs/>
          <w:color w:val="2E74B5"/>
          <w:sz w:val="24"/>
          <w:szCs w:val="24"/>
        </w:rPr>
        <w:t xml:space="preserve">6.2 Lenguajes de programación</w:t>
      </w:r>
    </w:p>
    <w:p>
      <w:pPr>
        <w:spacing w:after="80"/>
      </w:pPr>
      <w:r>
        <w:t xml:space="preserve"/>
      </w:r>
    </w:p>
    <w:p>
      <w:pPr>
        <w:pStyle w:val="ListParagraph"/>
        <w:numPr>
          <w:ilvl w:val="0"/>
          <w:numId w:val="2"/>
        </w:numPr>
        <w:spacing w:after="80"/>
      </w:pPr>
      <w:r>
        <w:rPr>
          <w:rFonts w:ascii="Calibri" w:cs="Calibri" w:eastAsia="Calibri" w:hAnsi="Calibri"/>
          <w:sz w:val="22"/>
          <w:szCs w:val="22"/>
        </w:rPr>
        <w:t xml:space="preserve">JavaScript (ECMAScript 2022+) — lógica de cliente y servidor</w:t>
      </w:r>
    </w:p>
    <w:p>
      <w:pPr>
        <w:pStyle w:val="ListParagraph"/>
        <w:numPr>
          <w:ilvl w:val="0"/>
          <w:numId w:val="2"/>
        </w:numPr>
        <w:spacing w:after="80"/>
      </w:pPr>
      <w:r>
        <w:rPr>
          <w:rFonts w:ascii="Calibri" w:cs="Calibri" w:eastAsia="Calibri" w:hAnsi="Calibri"/>
          <w:sz w:val="22"/>
          <w:szCs w:val="22"/>
        </w:rPr>
        <w:t xml:space="preserve">CSS3 / Tailwind CSS — estilos y diseño responsivo</w:t>
      </w:r>
    </w:p>
    <w:p>
      <w:pPr>
        <w:pStyle w:val="ListParagraph"/>
        <w:numPr>
          <w:ilvl w:val="0"/>
          <w:numId w:val="2"/>
        </w:numPr>
        <w:spacing w:after="80"/>
      </w:pPr>
      <w:r>
        <w:rPr>
          <w:rFonts w:ascii="Calibri" w:cs="Calibri" w:eastAsia="Calibri" w:hAnsi="Calibri"/>
          <w:sz w:val="22"/>
          <w:szCs w:val="22"/>
        </w:rPr>
        <w:t xml:space="preserve">SQL (PostgreSQL) — esquema de base de datos y migraciones (Supabase)</w:t>
      </w:r>
    </w:p>
    <w:p>
      <w:pPr>
        <w:spacing w:after="80"/>
      </w:pPr>
      <w:r>
        <w:t xml:space="preserve"/>
      </w:r>
    </w:p>
    <w:p>
      <w:pPr>
        <w:pStyle w:val="Heading2"/>
        <w:pBdr>
          <w:bottom w:val="single" w:color="4472C4" w:sz="4"/>
        </w:pBdr>
        <w:spacing w:after="80" w:before="240"/>
      </w:pPr>
      <w:r>
        <w:rPr>
          <w:rFonts w:ascii="Calibri" w:cs="Calibri" w:eastAsia="Calibri" w:hAnsi="Calibri"/>
          <w:b/>
          <w:bCs/>
          <w:color w:val="2E74B5"/>
          <w:sz w:val="24"/>
          <w:szCs w:val="24"/>
        </w:rPr>
        <w:t xml:space="preserve">6.3 Procesamiento de IA: dos pasadas</w:t>
      </w:r>
    </w:p>
    <w:p>
      <w:pPr>
        <w:spacing w:after="80"/>
      </w:pPr>
      <w:r>
        <w:t xml:space="preserve"/>
      </w:r>
    </w:p>
    <w:p>
      <w:pPr>
        <w:spacing w:after="120"/>
      </w:pPr>
      <w:r>
        <w:rPr>
          <w:rFonts w:ascii="Calibri" w:cs="Calibri" w:eastAsia="Calibri" w:hAnsi="Calibri"/>
          <w:sz w:val="22"/>
          <w:szCs w:val="22"/>
        </w:rPr>
        <w:t xml:space="preserve">El núcleo del sistema implementa un proceso de doble pasada sobre el texto de la notificación:</w:t>
      </w:r>
    </w:p>
    <w:p>
      <w:pPr>
        <w:pStyle w:val="ListParagraph"/>
        <w:numPr>
          <w:ilvl w:val="0"/>
          <w:numId w:val="2"/>
        </w:numPr>
        <w:spacing w:after="80"/>
      </w:pPr>
      <w:r>
        <w:rPr>
          <w:rFonts w:ascii="Calibri" w:cs="Calibri" w:eastAsia="Calibri" w:hAnsi="Calibri"/>
          <w:b/>
          <w:bCs/>
          <w:sz w:val="22"/>
          <w:szCs w:val="22"/>
        </w:rPr>
        <w:t xml:space="preserve">Primera pasada — traducción y estructuración: </w:t>
      </w:r>
      <w:r>
        <w:rPr>
          <w:rFonts w:ascii="Calibri" w:cs="Calibri" w:eastAsia="Calibri" w:hAnsi="Calibri"/>
          <w:sz w:val="22"/>
          <w:szCs w:val="22"/>
        </w:rPr>
        <w:t xml:space="preserve">El modelo de IA recibe el texto jurídico original junto con el tipo de acto procesal, el perfil del destinatario y el tipo de discapacidad comunicativa (si aplica). Genera una versión en lenguaje claro, adaptada y estructurada.</w:t>
      </w:r>
    </w:p>
    <w:p>
      <w:pPr>
        <w:pStyle w:val="ListParagraph"/>
        <w:numPr>
          <w:ilvl w:val="0"/>
          <w:numId w:val="2"/>
        </w:numPr>
        <w:spacing w:after="80"/>
      </w:pPr>
      <w:r>
        <w:rPr>
          <w:rFonts w:ascii="Calibri" w:cs="Calibri" w:eastAsia="Calibri" w:hAnsi="Calibri"/>
          <w:b/>
          <w:bCs/>
          <w:sz w:val="22"/>
          <w:szCs w:val="22"/>
        </w:rPr>
        <w:t xml:space="preserve">Segunda pasada — revisión ortográfica: </w:t>
      </w:r>
      <w:r>
        <w:rPr>
          <w:rFonts w:ascii="Calibri" w:cs="Calibri" w:eastAsia="Calibri" w:hAnsi="Calibri"/>
          <w:sz w:val="22"/>
          <w:szCs w:val="22"/>
        </w:rPr>
        <w:t xml:space="preserve">El resultado de la primera pasada es evaluado por una segunda llamada al mismo modelo, que realiza una revisión ortográfica y gramatical del texto generado antes de presentarlo al operador judicial.</w:t>
      </w:r>
    </w:p>
    <w:p>
      <w:pPr>
        <w:spacing w:after="80"/>
      </w:pPr>
      <w:r>
        <w:t xml:space="preserve"/>
      </w:r>
    </w:p>
    <w:p>
      <w:pPr>
        <w:pStyle w:val="Heading1"/>
        <w:spacing w:after="120" w:before="320"/>
      </w:pPr>
      <w:r>
        <w:rPr>
          <w:rFonts w:ascii="Calibri" w:cs="Calibri" w:eastAsia="Calibri" w:hAnsi="Calibri"/>
          <w:b/>
          <w:bCs/>
          <w:color w:val="1F3864"/>
          <w:sz w:val="28"/>
          <w:szCs w:val="28"/>
        </w:rPr>
        <w:t xml:space="preserve">7. Módulos principales</w:t>
      </w:r>
    </w:p>
    <w:p>
      <w:pPr>
        <w:spacing w:after="80"/>
      </w:pPr>
      <w:r>
        <w:t xml:space="preserve"/>
      </w:r>
    </w:p>
    <w:p>
      <w:pPr>
        <w:pStyle w:val="Heading3"/>
        <w:spacing w:after="60" w:before="160"/>
      </w:pPr>
      <w:r>
        <w:rPr>
          <w:rFonts w:ascii="Calibri" w:cs="Calibri" w:eastAsia="Calibri" w:hAnsi="Calibri"/>
          <w:b/>
          <w:bCs/>
          <w:color w:val="2E74B5"/>
          <w:sz w:val="22"/>
          <w:szCs w:val="22"/>
        </w:rPr>
        <w:t xml:space="preserve">7.1 Procesador de notificaciones (src/lib/anthropic.js)</w:t>
      </w:r>
    </w:p>
    <w:p>
      <w:pPr>
        <w:spacing w:after="120"/>
      </w:pPr>
      <w:r>
        <w:rPr>
          <w:rFonts w:ascii="Calibri" w:cs="Calibri" w:eastAsia="Calibri" w:hAnsi="Calibri"/>
          <w:sz w:val="22"/>
          <w:szCs w:val="22"/>
        </w:rPr>
        <w:t xml:space="preserve">Exporta tres funciones principales:</w:t>
      </w:r>
    </w:p>
    <w:p>
      <w:pPr>
        <w:pStyle w:val="ListParagraph"/>
        <w:numPr>
          <w:ilvl w:val="0"/>
          <w:numId w:val="2"/>
        </w:numPr>
        <w:spacing w:after="80"/>
      </w:pPr>
      <w:r>
        <w:rPr>
          <w:rFonts w:ascii="Calibri" w:cs="Calibri" w:eastAsia="Calibri" w:hAnsi="Calibri"/>
          <w:b/>
          <w:bCs/>
          <w:sz w:val="22"/>
          <w:szCs w:val="22"/>
        </w:rPr>
        <w:t xml:space="preserve">procesarNotificacion(textoOriginal, tipoActo, tipoDestinatario, tipoDiscapacidad)</w:t>
      </w:r>
      <w:r>
        <w:rPr>
          <w:rFonts w:ascii="Calibri" w:cs="Calibri" w:eastAsia="Calibri" w:hAnsi="Calibri"/>
          <w:sz w:val="22"/>
          <w:szCs w:val="22"/>
        </w:rPr>
        <w:t xml:space="preserve"> — función principal de traducción al lenguaje claro con adaptaciones específicas.</w:t>
      </w:r>
    </w:p>
    <w:p>
      <w:pPr>
        <w:pStyle w:val="ListParagraph"/>
        <w:numPr>
          <w:ilvl w:val="0"/>
          <w:numId w:val="2"/>
        </w:numPr>
        <w:spacing w:after="80"/>
      </w:pPr>
      <w:r>
        <w:rPr>
          <w:rFonts w:ascii="Calibri" w:cs="Calibri" w:eastAsia="Calibri" w:hAnsi="Calibri"/>
          <w:b/>
          <w:bCs/>
          <w:sz w:val="22"/>
          <w:szCs w:val="22"/>
        </w:rPr>
        <w:t xml:space="preserve">revisarOrtografia(datos)</w:t>
      </w:r>
      <w:r>
        <w:rPr>
          <w:rFonts w:ascii="Calibri" w:cs="Calibri" w:eastAsia="Calibri" w:hAnsi="Calibri"/>
          <w:sz w:val="22"/>
          <w:szCs w:val="22"/>
        </w:rPr>
        <w:t xml:space="preserve"> — segunda pasada de revisión ortográfica y gramatical sobre el texto generado.</w:t>
      </w:r>
    </w:p>
    <w:p>
      <w:pPr>
        <w:pStyle w:val="ListParagraph"/>
        <w:numPr>
          <w:ilvl w:val="0"/>
          <w:numId w:val="2"/>
        </w:numPr>
        <w:spacing w:after="80"/>
      </w:pPr>
      <w:r>
        <w:rPr>
          <w:rFonts w:ascii="Calibri" w:cs="Calibri" w:eastAsia="Calibri" w:hAnsi="Calibri"/>
          <w:b/>
          <w:bCs/>
          <w:sz w:val="22"/>
          <w:szCs w:val="22"/>
        </w:rPr>
        <w:t xml:space="preserve">responderPreguntaLibre(pregunta, datosNotificacion)</w:t>
      </w:r>
      <w:r>
        <w:rPr>
          <w:rFonts w:ascii="Calibri" w:cs="Calibri" w:eastAsia="Calibri" w:hAnsi="Calibri"/>
          <w:sz w:val="22"/>
          <w:szCs w:val="22"/>
        </w:rPr>
        <w:t xml:space="preserve"> — asistente conversacional "Clara" que responde consultas del operador sobre el contenido de la notificación procesada.</w:t>
      </w:r>
    </w:p>
    <w:p>
      <w:pPr>
        <w:spacing w:after="80"/>
      </w:pPr>
      <w:r>
        <w:t xml:space="preserve"/>
      </w:r>
    </w:p>
    <w:p>
      <w:pPr>
        <w:pStyle w:val="Heading3"/>
        <w:spacing w:after="60" w:before="160"/>
      </w:pPr>
      <w:r>
        <w:rPr>
          <w:rFonts w:ascii="Calibri" w:cs="Calibri" w:eastAsia="Calibri" w:hAnsi="Calibri"/>
          <w:b/>
          <w:bCs/>
          <w:color w:val="2E74B5"/>
          <w:sz w:val="22"/>
          <w:szCs w:val="22"/>
        </w:rPr>
        <w:t xml:space="preserve">7.2 Prompts especializados (src/lib/prompts/index.js)</w:t>
      </w:r>
    </w:p>
    <w:p>
      <w:pPr>
        <w:spacing w:after="120"/>
      </w:pPr>
      <w:r>
        <w:rPr>
          <w:rFonts w:ascii="Calibri" w:cs="Calibri" w:eastAsia="Calibri" w:hAnsi="Calibri"/>
          <w:sz w:val="22"/>
          <w:szCs w:val="22"/>
        </w:rPr>
        <w:t xml:space="preserve">Contiene el conjunto de instrucciones de sistema para el modelo de IA, organizado en:</w:t>
      </w:r>
    </w:p>
    <w:p>
      <w:pPr>
        <w:pStyle w:val="ListParagraph"/>
        <w:numPr>
          <w:ilvl w:val="0"/>
          <w:numId w:val="2"/>
        </w:numPr>
        <w:spacing w:after="80"/>
      </w:pPr>
      <w:r>
        <w:rPr>
          <w:rFonts w:ascii="Calibri" w:cs="Calibri" w:eastAsia="Calibri" w:hAnsi="Calibri"/>
          <w:sz w:val="22"/>
          <w:szCs w:val="22"/>
        </w:rPr>
        <w:t xml:space="preserve">PROMPT_BASE — instrucciones generales de rol y comportamiento del modelo</w:t>
      </w:r>
    </w:p>
    <w:p>
      <w:pPr>
        <w:pStyle w:val="ListParagraph"/>
        <w:numPr>
          <w:ilvl w:val="0"/>
          <w:numId w:val="2"/>
        </w:numPr>
        <w:spacing w:after="80"/>
      </w:pPr>
      <w:r>
        <w:rPr>
          <w:rFonts w:ascii="Calibri" w:cs="Calibri" w:eastAsia="Calibri" w:hAnsi="Calibri"/>
          <w:sz w:val="22"/>
          <w:szCs w:val="22"/>
        </w:rPr>
        <w:t xml:space="preserve">PROMPTS_POR_TIPO — adaptaciones según tipo de acto procesal: testimonio, indagatoria, resolución civil, entre otros</w:t>
      </w:r>
    </w:p>
    <w:p>
      <w:pPr>
        <w:pStyle w:val="ListParagraph"/>
        <w:numPr>
          <w:ilvl w:val="0"/>
          <w:numId w:val="2"/>
        </w:numPr>
        <w:spacing w:after="80"/>
      </w:pPr>
      <w:r>
        <w:rPr>
          <w:rFonts w:ascii="Calibri" w:cs="Calibri" w:eastAsia="Calibri" w:hAnsi="Calibri"/>
          <w:sz w:val="22"/>
          <w:szCs w:val="22"/>
        </w:rPr>
        <w:t xml:space="preserve">PROMPTS_POR_DESTINATARIO — ajustes por perfil del destinatario (adulto mayor, adolescente, persona sin instrucción formal, etc.)</w:t>
      </w:r>
    </w:p>
    <w:p>
      <w:pPr>
        <w:pStyle w:val="ListParagraph"/>
        <w:numPr>
          <w:ilvl w:val="0"/>
          <w:numId w:val="2"/>
        </w:numPr>
        <w:spacing w:after="80"/>
      </w:pPr>
      <w:r>
        <w:rPr>
          <w:rFonts w:ascii="Calibri" w:cs="Calibri" w:eastAsia="Calibri" w:hAnsi="Calibri"/>
          <w:sz w:val="22"/>
          <w:szCs w:val="22"/>
        </w:rPr>
        <w:t xml:space="preserve">PROMPTS_POR_DISCAPACIDAD — instrucciones de accesibilidad comunicativa por tipo de discapacidad</w:t>
      </w:r>
    </w:p>
    <w:p>
      <w:pPr>
        <w:spacing w:after="80"/>
      </w:pPr>
      <w:r>
        <w:t xml:space="preserve"/>
      </w:r>
    </w:p>
    <w:p>
      <w:pPr>
        <w:pStyle w:val="Heading3"/>
        <w:spacing w:after="60" w:before="160"/>
      </w:pPr>
      <w:r>
        <w:rPr>
          <w:rFonts w:ascii="Calibri" w:cs="Calibri" w:eastAsia="Calibri" w:hAnsi="Calibri"/>
          <w:b/>
          <w:bCs/>
          <w:color w:val="2E74B5"/>
          <w:sz w:val="22"/>
          <w:szCs w:val="22"/>
        </w:rPr>
        <w:t xml:space="preserve">7.3 Almacenamiento y trazabilidad (integración Supabase)</w:t>
      </w:r>
    </w:p>
    <w:p>
      <w:pPr>
        <w:spacing w:after="120"/>
      </w:pPr>
      <w:r>
        <w:rPr>
          <w:rFonts w:ascii="Calibri" w:cs="Calibri" w:eastAsia="Calibri" w:hAnsi="Calibri"/>
          <w:sz w:val="22"/>
          <w:szCs w:val="22"/>
        </w:rPr>
        <w:t xml:space="preserve">Las notificaciones procesadas se almacenan en base de datos PostgreSQL mediante Supabase, con fines de trazabilidad y auditoría interna. El esquema incluye migraciones SQL versionadas.</w:t>
      </w:r>
    </w:p>
    <w:p>
      <w:pPr>
        <w:spacing w:after="80"/>
      </w:pPr>
      <w:r>
        <w:t xml:space="preserve"/>
      </w:r>
    </w:p>
    <w:p>
      <w:pPr>
        <w:pStyle w:val="Heading3"/>
        <w:spacing w:after="60" w:before="160"/>
      </w:pPr>
      <w:r>
        <w:rPr>
          <w:rFonts w:ascii="Calibri" w:cs="Calibri" w:eastAsia="Calibri" w:hAnsi="Calibri"/>
          <w:b/>
          <w:bCs/>
          <w:color w:val="2E74B5"/>
          <w:sz w:val="22"/>
          <w:szCs w:val="22"/>
        </w:rPr>
        <w:t xml:space="preserve">7.4 Generación de documentos con código QR</w:t>
      </w:r>
    </w:p>
    <w:p>
      <w:pPr>
        <w:spacing w:after="120"/>
      </w:pPr>
      <w:r>
        <w:rPr>
          <w:rFonts w:ascii="Calibri" w:cs="Calibri" w:eastAsia="Calibri" w:hAnsi="Calibri"/>
          <w:sz w:val="22"/>
          <w:szCs w:val="22"/>
        </w:rPr>
        <w:t xml:space="preserve">El sistema produce documentos imprimibles de las notificaciones transformadas, incorporando un código QR generado con la biblioteca qrcode e identificadores únicos (uuid) para permitir la verificación de autenticidad.</w:t>
      </w:r>
    </w:p>
    <w:p>
      <w:pPr>
        <w:spacing w:after="80"/>
      </w:pPr>
      <w:r>
        <w:t xml:space="preserve"/>
      </w:r>
    </w:p>
    <w:p>
      <w:pPr>
        <w:pStyle w:val="Heading3"/>
        <w:spacing w:after="60" w:before="160"/>
      </w:pPr>
      <w:r>
        <w:rPr>
          <w:rFonts w:ascii="Calibri" w:cs="Calibri" w:eastAsia="Calibri" w:hAnsi="Calibri"/>
          <w:b/>
          <w:bCs/>
          <w:color w:val="2E74B5"/>
          <w:sz w:val="22"/>
          <w:szCs w:val="22"/>
        </w:rPr>
        <w:t xml:space="preserve">7.5 Interfaz de usuario</w:t>
      </w:r>
    </w:p>
    <w:p>
      <w:pPr>
        <w:spacing w:after="120"/>
      </w:pPr>
      <w:r>
        <w:rPr>
          <w:rFonts w:ascii="Calibri" w:cs="Calibri" w:eastAsia="Calibri" w:hAnsi="Calibri"/>
          <w:sz w:val="22"/>
          <w:szCs w:val="22"/>
        </w:rPr>
        <w:t xml:space="preserve">Aplicación web responsiva desarrollada con Next.js App Router y React 18, con estilos en Tailwind CSS. Incluye página de presentación pública, formulario de carga de notificaciones, visualización de resultados, y sección "Sobre la herramienta" con historial de versiones y preguntas frecuentes.</w:t>
      </w:r>
    </w:p>
    <w:p>
      <w:pPr>
        <w:spacing w:after="80"/>
      </w:pPr>
      <w:r>
        <w:t xml:space="preserve"/>
      </w:r>
    </w:p>
    <w:p>
      <w:pPr>
        <w:pStyle w:val="Heading1"/>
        <w:spacing w:after="120" w:before="320"/>
      </w:pPr>
      <w:r>
        <w:rPr>
          <w:rFonts w:ascii="Calibri" w:cs="Calibri" w:eastAsia="Calibri" w:hAnsi="Calibri"/>
          <w:b/>
          <w:bCs/>
          <w:color w:val="1F3864"/>
          <w:sz w:val="28"/>
          <w:szCs w:val="28"/>
        </w:rPr>
        <w:t xml:space="preserve">8. Historial de versiones públicas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DCE6F1" w:color="auto" w:val="clear"/>
          </w:tcPr>
          <w:p>
            <w:pPr>
              <w:spacing w:after="60" w:before="60"/>
            </w:pPr>
            <w:r>
              <w:rPr>
                <w:rFonts w:ascii="Calibri" w:cs="Calibri" w:eastAsia="Calibri" w:hAnsi="Calibri"/>
                <w:b/>
                <w:bCs/>
                <w:sz w:val="22"/>
                <w:szCs w:val="22"/>
              </w:rPr>
              <w:t xml:space="preserve">v0.1</w:t>
            </w:r>
          </w:p>
        </w:tc>
        <w:tc>
          <w:tcPr>
            <w:tcW w:type="dxa" w:w="6660"/>
          </w:tcPr>
          <w:p>
            <w:pPr>
              <w:spacing w:after="60" w:before="60"/>
            </w:pPr>
            <w:r>
              <w:rPr>
                <w:rFonts w:ascii="Calibri" w:cs="Calibri" w:eastAsia="Calibri" w:hAnsi="Calibri"/>
                <w:sz w:val="22"/>
                <w:szCs w:val="22"/>
              </w:rPr>
              <w:t xml:space="preserve">Primera versión piloto funcional. Procesamiento básico de notificaciones judiciales con IA. Publicación inicial: 9 de agosto de 2026.</w:t>
            </w:r>
          </w:p>
        </w:tc>
      </w:tr>
      <w:tr>
        <w:tc>
          <w:tcPr>
            <w:tcW w:type="dxa" w:w="2700"/>
            <w:shd w:fill="DCE6F1" w:color="auto" w:val="clear"/>
          </w:tcPr>
          <w:p>
            <w:pPr>
              <w:spacing w:after="60" w:before="60"/>
            </w:pPr>
            <w:r>
              <w:rPr>
                <w:rFonts w:ascii="Calibri" w:cs="Calibri" w:eastAsia="Calibri" w:hAnsi="Calibri"/>
                <w:b/>
                <w:bCs/>
                <w:sz w:val="22"/>
                <w:szCs w:val="22"/>
              </w:rPr>
              <w:t xml:space="preserve">v0.2</w:t>
            </w:r>
          </w:p>
        </w:tc>
        <w:tc>
          <w:tcPr>
            <w:tcW w:type="dxa" w:w="6660"/>
          </w:tcPr>
          <w:p>
            <w:pPr>
              <w:spacing w:after="60" w:before="60"/>
            </w:pPr>
            <w:r>
              <w:rPr>
                <w:rFonts w:ascii="Calibri" w:cs="Calibri" w:eastAsia="Calibri" w:hAnsi="Calibri"/>
                <w:sz w:val="22"/>
                <w:szCs w:val="22"/>
              </w:rPr>
              <w:t xml:space="preserve">Incorporación de perfiles de destinatario diferenciados. Adaptación del lenguaje según el perfil del receptor de la notificación.</w:t>
            </w:r>
          </w:p>
        </w:tc>
      </w:tr>
      <w:tr>
        <w:tc>
          <w:tcPr>
            <w:tcW w:type="dxa" w:w="2700"/>
            <w:shd w:fill="DCE6F1" w:color="auto" w:val="clear"/>
          </w:tcPr>
          <w:p>
            <w:pPr>
              <w:spacing w:after="60" w:before="60"/>
            </w:pPr>
            <w:r>
              <w:rPr>
                <w:rFonts w:ascii="Calibri" w:cs="Calibri" w:eastAsia="Calibri" w:hAnsi="Calibri"/>
                <w:b/>
                <w:bCs/>
                <w:sz w:val="22"/>
                <w:szCs w:val="22"/>
              </w:rPr>
              <w:t xml:space="preserve">v0.3</w:t>
            </w:r>
          </w:p>
        </w:tc>
        <w:tc>
          <w:tcPr>
            <w:tcW w:type="dxa" w:w="6660"/>
          </w:tcPr>
          <w:p>
            <w:pPr>
              <w:spacing w:after="60" w:before="60"/>
            </w:pPr>
            <w:r>
              <w:rPr>
                <w:rFonts w:ascii="Calibri" w:cs="Calibri" w:eastAsia="Calibri" w:hAnsi="Calibri"/>
                <w:sz w:val="22"/>
                <w:szCs w:val="22"/>
              </w:rPr>
              <w:t xml:space="preserve">Integración de adaptaciones para personas con discapacidades comunicativas. Nuevos prompts especializados por tipo de discapacidad.</w:t>
            </w:r>
          </w:p>
        </w:tc>
      </w:tr>
      <w:tr>
        <w:tc>
          <w:tcPr>
            <w:tcW w:type="dxa" w:w="2700"/>
            <w:shd w:fill="DCE6F1" w:color="auto" w:val="clear"/>
          </w:tcPr>
          <w:p>
            <w:pPr>
              <w:spacing w:after="60" w:before="60"/>
            </w:pPr>
            <w:r>
              <w:rPr>
                <w:rFonts w:ascii="Calibri" w:cs="Calibri" w:eastAsia="Calibri" w:hAnsi="Calibri"/>
                <w:b/>
                <w:bCs/>
                <w:sz w:val="22"/>
                <w:szCs w:val="22"/>
              </w:rPr>
              <w:t xml:space="preserve">v0.4</w:t>
            </w:r>
          </w:p>
        </w:tc>
        <w:tc>
          <w:tcPr>
            <w:tcW w:type="dxa" w:w="6660"/>
          </w:tcPr>
          <w:p>
            <w:pPr>
              <w:spacing w:after="60" w:before="60"/>
            </w:pPr>
            <w:r>
              <w:rPr>
                <w:rFonts w:ascii="Calibri" w:cs="Calibri" w:eastAsia="Calibri" w:hAnsi="Calibri"/>
                <w:sz w:val="22"/>
                <w:szCs w:val="22"/>
              </w:rPr>
              <w:t xml:space="preserve">Segunda pasada de revisión ortográfica y gramatical. Asistente de consultas "Clara" (responderPreguntaLibre).</w:t>
            </w:r>
          </w:p>
        </w:tc>
      </w:tr>
      <w:tr>
        <w:tc>
          <w:tcPr>
            <w:tcW w:type="dxa" w:w="2700"/>
            <w:shd w:fill="DCE6F1" w:color="auto" w:val="clear"/>
          </w:tcPr>
          <w:p>
            <w:pPr>
              <w:spacing w:after="60" w:before="60"/>
            </w:pPr>
            <w:r>
              <w:rPr>
                <w:rFonts w:ascii="Calibri" w:cs="Calibri" w:eastAsia="Calibri" w:hAnsi="Calibri"/>
                <w:b/>
                <w:bCs/>
                <w:sz w:val="22"/>
                <w:szCs w:val="22"/>
              </w:rPr>
              <w:t xml:space="preserve">v0.5</w:t>
            </w:r>
          </w:p>
        </w:tc>
        <w:tc>
          <w:tcPr>
            <w:tcW w:type="dxa" w:w="6660"/>
          </w:tcPr>
          <w:p>
            <w:pPr>
              <w:spacing w:after="60" w:before="60"/>
            </w:pPr>
            <w:r>
              <w:rPr>
                <w:rFonts w:ascii="Calibri" w:cs="Calibri" w:eastAsia="Calibri" w:hAnsi="Calibri"/>
                <w:sz w:val="22"/>
                <w:szCs w:val="22"/>
              </w:rPr>
              <w:t xml:space="preserve">Versión piloto consolidada en producción (versión registrada). Generación de documentos imprimibles con código QR. Mejoras de interfaz y estabilidad.</w:t>
            </w:r>
          </w:p>
        </w:tc>
      </w:tr>
    </w:tbl>
    <w:p>
      <w:pPr>
        <w:spacing w:after="80"/>
      </w:pPr>
      <w:r>
        <w:t xml:space="preserve"/>
      </w:r>
    </w:p>
    <w:p>
      <w:pPr>
        <w:pStyle w:val="Heading1"/>
        <w:spacing w:after="120" w:before="320"/>
      </w:pPr>
      <w:r>
        <w:rPr>
          <w:rFonts w:ascii="Calibri" w:cs="Calibri" w:eastAsia="Calibri" w:hAnsi="Calibri"/>
          <w:b/>
          <w:bCs/>
          <w:color w:val="1F3864"/>
          <w:sz w:val="28"/>
          <w:szCs w:val="28"/>
        </w:rPr>
        <w:t xml:space="preserve">9. Contenido del depósito digital</w:t>
      </w:r>
    </w:p>
    <w:p>
      <w:pPr>
        <w:spacing w:after="80"/>
      </w:pPr>
      <w:r>
        <w:t xml:space="preserve"/>
      </w:r>
    </w:p>
    <w:p>
      <w:pPr>
        <w:spacing w:after="120"/>
      </w:pPr>
      <w:r>
        <w:rPr>
          <w:rFonts w:ascii="Calibri" w:cs="Calibri" w:eastAsia="Calibri" w:hAnsi="Calibri"/>
          <w:sz w:val="22"/>
          <w:szCs w:val="22"/>
        </w:rPr>
        <w:t xml:space="preserve">El archivo comprimido adjunto (NotificAR_Clara_DNDA_v20260907.zip) contiene el código fuente completo de la aplicación en su versión v0.5, incluyendo:</w:t>
      </w:r>
    </w:p>
    <w:p>
      <w:pPr>
        <w:pStyle w:val="ListParagraph"/>
        <w:numPr>
          <w:ilvl w:val="0"/>
          <w:numId w:val="2"/>
        </w:numPr>
        <w:spacing w:after="80"/>
      </w:pPr>
      <w:r>
        <w:rPr>
          <w:rFonts w:ascii="Calibri" w:cs="Calibri" w:eastAsia="Calibri" w:hAnsi="Calibri"/>
          <w:sz w:val="22"/>
          <w:szCs w:val="22"/>
        </w:rPr>
        <w:t xml:space="preserve">Código fuente frontend y backend (directorio src/)</w:t>
      </w:r>
    </w:p>
    <w:p>
      <w:pPr>
        <w:pStyle w:val="ListParagraph"/>
        <w:numPr>
          <w:ilvl w:val="0"/>
          <w:numId w:val="2"/>
        </w:numPr>
        <w:spacing w:after="80"/>
      </w:pPr>
      <w:r>
        <w:rPr>
          <w:rFonts w:ascii="Calibri" w:cs="Calibri" w:eastAsia="Calibri" w:hAnsi="Calibri"/>
          <w:sz w:val="22"/>
          <w:szCs w:val="22"/>
        </w:rPr>
        <w:t xml:space="preserve">Módulos de integración con IA y Supabase (src/lib/)</w:t>
      </w:r>
    </w:p>
    <w:p>
      <w:pPr>
        <w:pStyle w:val="ListParagraph"/>
        <w:numPr>
          <w:ilvl w:val="0"/>
          <w:numId w:val="2"/>
        </w:numPr>
        <w:spacing w:after="80"/>
      </w:pPr>
      <w:r>
        <w:rPr>
          <w:rFonts w:ascii="Calibri" w:cs="Calibri" w:eastAsia="Calibri" w:hAnsi="Calibri"/>
          <w:sz w:val="22"/>
          <w:szCs w:val="22"/>
        </w:rPr>
        <w:t xml:space="preserve">Prompts especializados para el modelo de IA</w:t>
      </w:r>
    </w:p>
    <w:p>
      <w:pPr>
        <w:pStyle w:val="ListParagraph"/>
        <w:numPr>
          <w:ilvl w:val="0"/>
          <w:numId w:val="2"/>
        </w:numPr>
        <w:spacing w:after="80"/>
      </w:pPr>
      <w:r>
        <w:rPr>
          <w:rFonts w:ascii="Calibri" w:cs="Calibri" w:eastAsia="Calibri" w:hAnsi="Calibri"/>
          <w:sz w:val="22"/>
          <w:szCs w:val="22"/>
        </w:rPr>
        <w:t xml:space="preserve">Esquema de base de datos y migraciones SQL (supabase/migrations/)</w:t>
      </w:r>
    </w:p>
    <w:p>
      <w:pPr>
        <w:pStyle w:val="ListParagraph"/>
        <w:numPr>
          <w:ilvl w:val="0"/>
          <w:numId w:val="2"/>
        </w:numPr>
        <w:spacing w:after="80"/>
      </w:pPr>
      <w:r>
        <w:rPr>
          <w:rFonts w:ascii="Calibri" w:cs="Calibri" w:eastAsia="Calibri" w:hAnsi="Calibri"/>
          <w:sz w:val="22"/>
          <w:szCs w:val="22"/>
        </w:rPr>
        <w:t xml:space="preserve">Archivos de configuración de proyecto (package.json, next.config.js, tailwind.config.js, etc.)</w:t>
      </w:r>
    </w:p>
    <w:p>
      <w:pPr>
        <w:pStyle w:val="ListParagraph"/>
        <w:numPr>
          <w:ilvl w:val="0"/>
          <w:numId w:val="2"/>
        </w:numPr>
        <w:spacing w:after="80"/>
      </w:pPr>
      <w:r>
        <w:rPr>
          <w:rFonts w:ascii="Calibri" w:cs="Calibri" w:eastAsia="Calibri" w:hAnsi="Calibri"/>
          <w:sz w:val="22"/>
          <w:szCs w:val="22"/>
        </w:rPr>
        <w:t xml:space="preserve">Ejemplo de variables de entorno (.env.local.example) — sin credenciales reales</w:t>
      </w:r>
    </w:p>
    <w:p>
      <w:pPr>
        <w:pStyle w:val="ListParagraph"/>
        <w:numPr>
          <w:ilvl w:val="0"/>
          <w:numId w:val="2"/>
        </w:numPr>
        <w:spacing w:after="80"/>
      </w:pPr>
      <w:r>
        <w:rPr>
          <w:rFonts w:ascii="Calibri" w:cs="Calibri" w:eastAsia="Calibri" w:hAnsi="Calibri"/>
          <w:sz w:val="22"/>
          <w:szCs w:val="22"/>
        </w:rPr>
        <w:t xml:space="preserve">Manual de uso NotificAR_Clara_Manual_v1.docx</w:t>
      </w:r>
    </w:p>
    <w:p>
      <w:pPr>
        <w:spacing w:after="80"/>
      </w:pPr>
      <w:r>
        <w:t xml:space="preserve"/>
      </w:r>
    </w:p>
    <w:p>
      <w:pPr>
        <w:spacing w:after="120"/>
      </w:pPr>
      <w:r>
        <w:rPr>
          <w:rFonts w:ascii="Calibri" w:cs="Calibri" w:eastAsia="Calibri" w:hAnsi="Calibri"/>
          <w:sz w:val="22"/>
          <w:szCs w:val="22"/>
        </w:rPr>
        <w:t xml:space="preserve">No se incluyen: credenciales de acceso, claves de API, carpetas de compilación (.next, .vercel), dependencias de paquetes (node_modules), ni infraestructura de terceros (Supabase, Vercel, Anthropic API).</w:t>
      </w:r>
    </w:p>
    <w:p>
      <w:pPr>
        <w:spacing w:after="80"/>
      </w:pPr>
      <w:r>
        <w:t xml:space="preserve"/>
      </w:r>
    </w:p>
    <w:p>
      <w:pPr>
        <w:pBdr>
          <w:bottom w:val="single" w:color="4472C4" w:sz="6"/>
        </w:pBdr>
        <w:spacing w:after="160" w:before="160"/>
      </w:pPr>
      <w:r>
        <w:t xml:space="preserve"/>
      </w:r>
    </w:p>
    <w:p>
      <w:pPr>
        <w:spacing w:after="80" w:before="200"/>
        <w:jc w:val="center"/>
      </w:pPr>
      <w:r>
        <w:rPr>
          <w:rFonts w:ascii="Calibri" w:cs="Calibri" w:eastAsia="Calibri" w:hAnsi="Calibri"/>
          <w:i/>
          <w:iCs/>
          <w:color w:val="595959"/>
          <w:sz w:val="18"/>
          <w:szCs w:val="18"/>
        </w:rPr>
        <w:t xml:space="preserve">Documento generado para adjuntar al trámite TAD — Inscripción de obra publicada – Software (ID 536)</w:t>
      </w:r>
    </w:p>
    <w:p>
      <w:pPr>
        <w:jc w:val="center"/>
      </w:pPr>
      <w:r>
        <w:rPr>
          <w:rFonts w:ascii="Calibri" w:cs="Calibri" w:eastAsia="Calibri" w:hAnsi="Calibri"/>
          <w:color w:val="595959"/>
          <w:sz w:val="18"/>
          <w:szCs w:val="18"/>
        </w:rPr>
        <w:t xml:space="preserve">Necochea, Buenos Aires — 7 de septiembre de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2026-09-07T15:53:26.369Z</dcterms:created>
  <dcterms:modified xsi:type="dcterms:W3CDTF">2026-09-07T15:53:26.370Z</dcterms:modified>
</cp:coreProperties>
</file>

<file path=docProps/custom.xml><?xml version="1.0" encoding="utf-8"?>
<Properties xmlns="http://schemas.openxmlformats.org/officeDocument/2006/custom-properties" xmlns:vt="http://schemas.openxmlformats.org/officeDocument/2006/docPropsVTypes"/>
</file>