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r>
    </w:p>
    <w:p w:rsidR="00000000" w:rsidDel="00000000" w:rsidP="00000000" w:rsidRDefault="00000000" w:rsidRPr="00000000" w14:paraId="00000003">
      <w:pPr>
        <w:pBdr>
          <w:top w:color="003366" w:space="0" w:sz="5" w:val="single"/>
          <w:left w:color="auto" w:space="0" w:sz="0" w:val="none"/>
          <w:bottom w:color="1a7ab5" w:space="0" w:sz="5" w:val="single"/>
          <w:right w:color="auto" w:space="0" w:sz="0" w:val="none"/>
        </w:pBdr>
        <w:spacing w:after="80" w:before="240" w:line="360" w:lineRule="auto"/>
        <w:rPr>
          <w:rFonts w:ascii="Times New Roman" w:cs="Times New Roman" w:eastAsia="Times New Roman" w:hAnsi="Times New Roman"/>
          <w:color w:val="1a7ab5"/>
          <w:sz w:val="24"/>
          <w:szCs w:val="24"/>
        </w:rPr>
      </w:pPr>
      <w:r w:rsidDel="00000000" w:rsidR="00000000" w:rsidRPr="00000000">
        <w:rPr>
          <w:rFonts w:ascii="Times New Roman" w:cs="Times New Roman" w:eastAsia="Times New Roman" w:hAnsi="Times New Roman"/>
          <w:color w:val="1a7ab5"/>
          <w:sz w:val="24"/>
          <w:szCs w:val="24"/>
          <w:rtl w:val="0"/>
        </w:rPr>
        <w:t xml:space="preserve">Red Marea D+I — Derecho e innovación en red | III Convención de la Red Panhispánica de Lenguaje Claro y Accesible | Eje temático 4: Inteligencia artificial y tecnología del lenguaje</w:t>
      </w:r>
    </w:p>
    <w:p w:rsidR="00000000" w:rsidDel="00000000" w:rsidP="00000000" w:rsidRDefault="00000000" w:rsidRPr="00000000" w14:paraId="00000004">
      <w:pPr>
        <w:spacing w:after="160" w:before="240" w:line="360" w:lineRule="auto"/>
        <w:rPr>
          <w:rFonts w:ascii="Times New Roman" w:cs="Times New Roman" w:eastAsia="Times New Roman" w:hAnsi="Times New Roman"/>
          <w:color w:val="1a7ab5"/>
          <w:sz w:val="24"/>
          <w:szCs w:val="24"/>
        </w:rPr>
      </w:pPr>
      <w:r w:rsidDel="00000000" w:rsidR="00000000" w:rsidRPr="00000000">
        <w:rPr>
          <w:rFonts w:ascii="Times New Roman" w:cs="Times New Roman" w:eastAsia="Times New Roman" w:hAnsi="Times New Roman"/>
          <w:color w:val="1a7ab5"/>
          <w:sz w:val="24"/>
          <w:szCs w:val="24"/>
          <w:rtl w:val="0"/>
        </w:rPr>
        <w:br w:type="textWrapping"/>
        <w:br w:type="textWrapping"/>
      </w:r>
    </w:p>
    <w:p w:rsidR="00000000" w:rsidDel="00000000" w:rsidP="00000000" w:rsidRDefault="00000000" w:rsidRPr="00000000" w14:paraId="00000005">
      <w:pPr>
        <w:spacing w:after="40" w:before="200" w:line="360" w:lineRule="auto"/>
        <w:jc w:val="center"/>
        <w:rPr>
          <w:rFonts w:ascii="Times New Roman" w:cs="Times New Roman" w:eastAsia="Times New Roman" w:hAnsi="Times New Roman"/>
          <w:b w:val="1"/>
          <w:bCs w:val="1"/>
          <w:color w:val="003366"/>
          <w:sz w:val="24"/>
          <w:szCs w:val="24"/>
        </w:rPr>
      </w:pPr>
      <w:r w:rsidDel="00000000" w:rsidR="00000000" w:rsidRPr="00000000">
        <w:rPr>
          <w:rFonts w:ascii="Times New Roman" w:cs="Times New Roman" w:eastAsia="Times New Roman" w:hAnsi="Times New Roman"/>
          <w:b w:val="1"/>
          <w:bCs w:val="1"/>
          <w:color w:val="003366"/>
          <w:sz w:val="24"/>
          <w:szCs w:val="24"/>
          <w:rtl w:val="0"/>
        </w:rPr>
        <w:t xml:space="preserve">NotificAR Clara</w:t>
      </w:r>
    </w:p>
    <w:p w:rsidR="00000000" w:rsidDel="00000000" w:rsidP="00000000" w:rsidRDefault="00000000" w:rsidRPr="00000000" w14:paraId="00000006">
      <w:pPr>
        <w:spacing w:after="40" w:before="240" w:line="360" w:lineRule="auto"/>
        <w:jc w:val="center"/>
        <w:rPr>
          <w:rFonts w:ascii="Times New Roman" w:cs="Times New Roman" w:eastAsia="Times New Roman" w:hAnsi="Times New Roman"/>
          <w:i w:val="1"/>
          <w:iCs w:val="1"/>
          <w:color w:val="1a7ab5"/>
          <w:sz w:val="24"/>
          <w:szCs w:val="24"/>
        </w:rPr>
      </w:pPr>
      <w:r w:rsidDel="00000000" w:rsidR="00000000" w:rsidRPr="00000000">
        <w:rPr>
          <w:rFonts w:ascii="Times New Roman" w:cs="Times New Roman" w:eastAsia="Times New Roman" w:hAnsi="Times New Roman"/>
          <w:i w:val="1"/>
          <w:iCs w:val="1"/>
          <w:color w:val="1a7ab5"/>
          <w:sz w:val="24"/>
          <w:szCs w:val="24"/>
          <w:rtl w:val="0"/>
        </w:rPr>
        <w:t xml:space="preserve">Un sistema de mediación comunicacional para la comprensión de notificaciones judiciales</w:t>
        <w:br w:type="textWrapping"/>
        <w:t xml:space="preserve"> mediante inteligencia artificial y asistente virtual de video</w:t>
      </w:r>
    </w:p>
    <w:p w:rsidR="00000000" w:rsidDel="00000000" w:rsidP="00000000" w:rsidRDefault="00000000" w:rsidRPr="00000000" w14:paraId="00000007">
      <w:pPr>
        <w:spacing w:after="200" w:before="240" w:line="360" w:lineRule="auto"/>
        <w:rPr>
          <w:rFonts w:ascii="Times New Roman" w:cs="Times New Roman" w:eastAsia="Times New Roman" w:hAnsi="Times New Roman"/>
          <w:i w:val="1"/>
          <w:iCs w:val="1"/>
          <w:color w:val="1a7ab5"/>
          <w:sz w:val="24"/>
          <w:szCs w:val="24"/>
        </w:rPr>
      </w:pPr>
      <w:r w:rsidDel="00000000" w:rsidR="00000000" w:rsidRPr="00000000">
        <w:rPr>
          <w:rFonts w:ascii="Times New Roman" w:cs="Times New Roman" w:eastAsia="Times New Roman" w:hAnsi="Times New Roman"/>
          <w:i w:val="1"/>
          <w:iCs w:val="1"/>
          <w:color w:val="1a7ab5"/>
          <w:sz w:val="24"/>
          <w:szCs w:val="24"/>
          <w:rtl w:val="0"/>
        </w:rPr>
        <w:br w:type="textWrapping"/>
        <w:br w:type="textWrapping"/>
      </w:r>
    </w:p>
    <w:p w:rsidR="00000000" w:rsidDel="00000000" w:rsidP="00000000" w:rsidRDefault="00000000" w:rsidRPr="00000000" w14:paraId="00000008">
      <w:pPr>
        <w:spacing w:after="20" w:before="240" w:line="360" w:lineRule="auto"/>
        <w:jc w:val="cente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Enzo Fontana</w:t>
      </w:r>
    </w:p>
    <w:p w:rsidR="00000000" w:rsidDel="00000000" w:rsidP="00000000" w:rsidRDefault="00000000" w:rsidRPr="00000000" w14:paraId="00000009">
      <w:pPr>
        <w:spacing w:after="20" w:before="240" w:line="360" w:lineRule="auto"/>
        <w:jc w:val="cente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Secretario, Defensoría Oficial. Necochea, Provincia de Buenos Aires</w:t>
      </w:r>
    </w:p>
    <w:p w:rsidR="00000000" w:rsidDel="00000000" w:rsidP="00000000" w:rsidRDefault="00000000" w:rsidRPr="00000000" w14:paraId="0000000A">
      <w:pPr>
        <w:spacing w:after="20" w:before="240" w:line="360" w:lineRule="auto"/>
        <w:jc w:val="cente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dr.fontana@gmail.com</w:t>
      </w:r>
    </w:p>
    <w:p w:rsidR="00000000" w:rsidDel="00000000" w:rsidP="00000000" w:rsidRDefault="00000000" w:rsidRPr="00000000" w14:paraId="0000000B">
      <w:pPr>
        <w:spacing w:after="20" w:before="240" w:line="360" w:lineRule="auto"/>
        <w:jc w:val="cente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br w:type="textWrapping"/>
        <w:br w:type="textWrapping"/>
      </w:r>
    </w:p>
    <w:p w:rsidR="00000000" w:rsidDel="00000000" w:rsidP="00000000" w:rsidRDefault="00000000" w:rsidRPr="00000000" w14:paraId="0000000C">
      <w:pPr>
        <w:spacing w:after="20" w:before="240" w:line="360" w:lineRule="auto"/>
        <w:jc w:val="cente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Laura Bulesevich</w:t>
      </w:r>
    </w:p>
    <w:p w:rsidR="00000000" w:rsidDel="00000000" w:rsidP="00000000" w:rsidRDefault="00000000" w:rsidRPr="00000000" w14:paraId="0000000D">
      <w:pPr>
        <w:spacing w:after="20" w:before="240" w:line="360" w:lineRule="auto"/>
        <w:jc w:val="cente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Jueza de Cámara Civil y Comercial de Necochea, Provincia de Buenos Aires</w:t>
      </w:r>
    </w:p>
    <w:p w:rsidR="00000000" w:rsidDel="00000000" w:rsidP="00000000" w:rsidRDefault="00000000" w:rsidRPr="00000000" w14:paraId="0000000E">
      <w:pPr>
        <w:spacing w:after="20" w:before="240" w:line="360" w:lineRule="auto"/>
        <w:jc w:val="center"/>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bulesevichlaura@gmail.com</w:t>
      </w:r>
    </w:p>
    <w:p w:rsidR="00000000" w:rsidDel="00000000" w:rsidP="00000000" w:rsidRDefault="00000000" w:rsidRPr="00000000" w14:paraId="0000000F">
      <w:pPr>
        <w:spacing w:after="280" w:before="240" w:line="36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br w:type="textWrapping"/>
        <w:br w:type="textWrapping"/>
      </w:r>
    </w:p>
    <w:p w:rsidR="00000000" w:rsidDel="00000000" w:rsidP="00000000" w:rsidRDefault="00000000" w:rsidRPr="00000000" w14:paraId="00000010">
      <w:pPr>
        <w:pBdr>
          <w:top w:color="auto" w:space="0" w:sz="0" w:val="none"/>
          <w:left w:color="auto" w:space="0" w:sz="0" w:val="none"/>
          <w:bottom w:color="1a7ab5" w:space="0" w:sz="5" w:val="single"/>
          <w:right w:color="auto" w:space="0" w:sz="0" w:val="none"/>
        </w:pBdr>
        <w:spacing w:after="120" w:before="280" w:line="360" w:lineRule="auto"/>
        <w:rPr>
          <w:rFonts w:ascii="Times New Roman" w:cs="Times New Roman" w:eastAsia="Times New Roman" w:hAnsi="Times New Roman"/>
          <w:b w:val="1"/>
          <w:bCs w:val="1"/>
          <w:color w:val="003366"/>
          <w:sz w:val="24"/>
          <w:szCs w:val="24"/>
        </w:rPr>
      </w:pPr>
      <w:r w:rsidDel="00000000" w:rsidR="00000000" w:rsidRPr="00000000">
        <w:rPr>
          <w:rFonts w:ascii="Times New Roman" w:cs="Times New Roman" w:eastAsia="Times New Roman" w:hAnsi="Times New Roman"/>
          <w:b w:val="1"/>
          <w:bCs w:val="1"/>
          <w:color w:val="003366"/>
          <w:sz w:val="24"/>
          <w:szCs w:val="24"/>
          <w:rtl w:val="0"/>
        </w:rPr>
        <w:t xml:space="preserve">1. El diagnóstico</w:t>
      </w:r>
    </w:p>
    <w:p w:rsidR="00000000" w:rsidDel="00000000" w:rsidP="00000000" w:rsidRDefault="00000000" w:rsidRPr="00000000" w14:paraId="00000011">
      <w:pPr>
        <w:spacing w:after="80" w:before="240" w:line="360" w:lineRule="auto"/>
        <w:rPr>
          <w:rFonts w:ascii="Times New Roman" w:cs="Times New Roman" w:eastAsia="Times New Roman" w:hAnsi="Times New Roman"/>
          <w:b w:val="1"/>
          <w:bCs w:val="1"/>
          <w:color w:val="003366"/>
          <w:sz w:val="24"/>
          <w:szCs w:val="24"/>
        </w:rPr>
      </w:pPr>
      <w:r w:rsidDel="00000000" w:rsidR="00000000" w:rsidRPr="00000000">
        <w:rPr>
          <w:rFonts w:ascii="Times New Roman" w:cs="Times New Roman" w:eastAsia="Times New Roman" w:hAnsi="Times New Roman"/>
          <w:b w:val="1"/>
          <w:bCs w:val="1"/>
          <w:color w:val="003366"/>
          <w:sz w:val="24"/>
          <w:szCs w:val="24"/>
          <w:rtl w:val="0"/>
        </w:rPr>
        <w:br w:type="textWrapping"/>
        <w:br w:type="textWrapping"/>
      </w:r>
    </w:p>
    <w:p w:rsidR="00000000" w:rsidDel="00000000" w:rsidP="00000000" w:rsidRDefault="00000000" w:rsidRPr="00000000" w14:paraId="00000012">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Ser notificado de un acto judicial es, en teoría, el punto de partida del ejercicio de los derechos procesales. Recibir una cédula, una notificación electrónica o una citación es la condición que habilita a comparecer, defenderse, recurrir o cumplir lo ordenado. Sin embargo, en la práctica cotidiana de los tribunales bonaerenses, un número significativo de personas que reciben esas notificaciones no comprende su contenido, sus consecuencias ni las acciones que deben tomar.</w:t>
      </w:r>
    </w:p>
    <w:p w:rsidR="00000000" w:rsidDel="00000000" w:rsidP="00000000" w:rsidRDefault="00000000" w:rsidRPr="00000000" w14:paraId="00000013">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Las razones son conocidas, aunque su peso sigue siendo subestimado. El lenguaje jurídico es denso, técnico y formulaico: abunda en latinismos (ay de esos latinismos que todavía se nos cuelan...), referencias normativas cruzadas, plazos expresados en términos procesales que no tienen equivalente en el habla cotidiana, y sobreentendidos institucionales inaccesibles para quien no tiene formación legal. Una persona que recibe una "cédula de notificación de la providencia que ordena su comparendo en los términos del art. 308 del CPPBA" difícilmente comprende que se la está citando a declarar como imputada, que puede negarse a declarar sin que eso implique consecuencia alguna, que tiene derecho a hacerse acompañar por un abogado de su confianza y sino será asistida por la defensa oficial, o que no presentarse puede acarrear su detención compulsiva.</w:t>
      </w:r>
    </w:p>
    <w:p w:rsidR="00000000" w:rsidDel="00000000" w:rsidP="00000000" w:rsidRDefault="00000000" w:rsidRPr="00000000" w14:paraId="00000014">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¿Puede hablarse de acceso a la justicia cuando la primera comunicación entre el sistema y la persona que debe responder ante él es, para esa persona, un texto indescifrable? Las consecuencias de esa incomprensión son concretas y graves: inasistencias a audiencias, rebeldías declaradas, plazos procesales vencidos sin actividad de la parte, incumplimientos de resoluciones por desconocimiento de su contenido y, en los casos más extremos, condenas civiles o privaciones de libertad personal originadas en no haber entendido el contenido de una cédula. El desinterés aparente o la pasividad que muchas veces se observa en las partes no son – o no lo son necesariamente, al menos- productos de la falta de interés en los propios derechos. Son, con frecuencia, la expresión visible de una barrera comunicacional que el sistema judicial no ha sabido resolver hasta el momento en la inmensa mayoría de los casos.</w:t>
      </w:r>
    </w:p>
    <w:p w:rsidR="00000000" w:rsidDel="00000000" w:rsidP="00000000" w:rsidRDefault="00000000" w:rsidRPr="00000000" w14:paraId="00000015">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El movimiento de lenguaje claro (plain language) lleva décadas señalando que simplificar el lenguaje institucional no implica pérdida de precisión jurídica, sino una redistribución del esfuerzo comunicacional. Es el Estado quien debe acercarse al ciudadano, y no al revés. La Argentina ha dado pasos en esa dirección en el ámbito administrativo y legislativo con la sanción de la ley 15.184. El sistema judicial bonaerense, con sus propias lógicas y culturas institucionales, ha comenzado a avanzar en el mismo sentido a través de las guías de buenas prácticas aprobadas por la Suprema Corte de Justicia y el esfuerzo de muchos de sus operadores por implementarla. Pero la notificación judicial, que es el primer y muchas veces único contacto de una persona con el proceso que la afecta, ha permanecido en gran medida al margen de esa transformación.</w:t>
      </w:r>
    </w:p>
    <w:p w:rsidR="00000000" w:rsidDel="00000000" w:rsidP="00000000" w:rsidRDefault="00000000" w:rsidRPr="00000000" w14:paraId="00000016">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NotificAR Clara</w:t>
      </w:r>
      <w:r w:rsidDel="00000000" w:rsidR="00000000" w:rsidRPr="00000000">
        <w:rPr>
          <w:rFonts w:ascii="Times New Roman" w:cs="Times New Roman" w:eastAsia="Times New Roman" w:hAnsi="Times New Roman"/>
          <w:color w:val="1a1a1a"/>
          <w:sz w:val="24"/>
          <w:szCs w:val="24"/>
          <w:rtl w:val="0"/>
        </w:rPr>
        <w:t xml:space="preserve"> propone dar un paso concreto en esa dirección mediante una herramienta tecnológica que no requiere modificar los documentos judiciales ni los sistemas existentes, sino que añade, sobre la infraestructura ya disponible, una capa de mediación comunicacional accesible desde el teléfono celular de cualquier persona. Los detalles de la implementación técnica se desarrollan en el manual del sistema objeto de esta ponencia, aquí nos concentramos en el marco conceptual, normativo y funcional de la propuesta, que entendemos claro y suficiente para que todos puedan comprender tanto nuestra propuesta como el impacto esperado en el sistema judicial</w:t>
      </w:r>
    </w:p>
    <w:p>
      <w:pPr>
        <w:jc w:val="center"/>
        <w:spacing w:before="180" w:after="0"/>
        <w:pBdr/>
      </w:pPr>
      <w:r>
        <w:rPr>
          <w:b/>
          <w:color w:val="003366"/>
          <w:sz w:val="20"/>
          <w:highlight w:val="yellow"/>
        </w:rPr>
        <w:t>[ IMAGEN 1 — Panel del operador: menú de tipo de acto y destinatario desplegado — 9 cm de ancho, centrada ]</w:t>
      </w:r>
    </w:p>
    <w:p>
      <w:pPr>
        <w:jc w:val="center"/>
        <w:spacing w:before="40" w:after="240"/>
      </w:pPr>
      <w:r>
        <w:rPr>
          <w:i/>
          <w:sz w:val="18"/>
        </w:rPr>
        <w:t>Imagen 1. Panel del operador judicial: selección del tipo de acto procesal y destinatario de la notificación. (notificar-clara.vercel.app)</w:t>
      </w:r>
    </w:p>
    <w:p w:rsidR="00000000" w:rsidDel="00000000" w:rsidP="00000000" w:rsidRDefault="00000000" w:rsidRPr="00000000" w14:paraId="00000017">
      <w:pPr>
        <w:pBdr>
          <w:top w:color="auto" w:space="0" w:sz="0" w:val="none"/>
          <w:left w:color="auto" w:space="0" w:sz="0" w:val="none"/>
          <w:bottom w:color="1a7ab5" w:space="0" w:sz="5" w:val="single"/>
          <w:right w:color="auto" w:space="0" w:sz="0" w:val="none"/>
        </w:pBdr>
        <w:spacing w:after="120" w:before="280" w:line="360" w:lineRule="auto"/>
        <w:rPr>
          <w:rFonts w:ascii="Times New Roman" w:cs="Times New Roman" w:eastAsia="Times New Roman" w:hAnsi="Times New Roman"/>
          <w:b w:val="1"/>
          <w:bCs w:val="1"/>
          <w:color w:val="003366"/>
          <w:sz w:val="24"/>
          <w:szCs w:val="24"/>
        </w:rPr>
      </w:pPr>
      <w:r w:rsidDel="00000000" w:rsidR="00000000" w:rsidRPr="00000000">
        <w:rPr>
          <w:rFonts w:ascii="Times New Roman" w:cs="Times New Roman" w:eastAsia="Times New Roman" w:hAnsi="Times New Roman"/>
          <w:b w:val="1"/>
          <w:bCs w:val="1"/>
          <w:color w:val="003366"/>
          <w:sz w:val="24"/>
          <w:szCs w:val="24"/>
          <w:rtl w:val="0"/>
        </w:rPr>
        <w:t xml:space="preserve">2. Marco normativo</w:t>
      </w:r>
    </w:p>
    <w:p w:rsidR="00000000" w:rsidDel="00000000" w:rsidP="00000000" w:rsidRDefault="00000000" w:rsidRPr="00000000" w14:paraId="00000018">
      <w:pPr>
        <w:spacing w:after="80" w:before="240" w:line="360" w:lineRule="auto"/>
        <w:rPr>
          <w:rFonts w:ascii="Times New Roman" w:cs="Times New Roman" w:eastAsia="Times New Roman" w:hAnsi="Times New Roman"/>
          <w:b w:val="1"/>
          <w:bCs w:val="1"/>
          <w:color w:val="003366"/>
          <w:sz w:val="24"/>
          <w:szCs w:val="24"/>
        </w:rPr>
      </w:pPr>
      <w:r w:rsidDel="00000000" w:rsidR="00000000" w:rsidRPr="00000000">
        <w:rPr>
          <w:rFonts w:ascii="Times New Roman" w:cs="Times New Roman" w:eastAsia="Times New Roman" w:hAnsi="Times New Roman"/>
          <w:b w:val="1"/>
          <w:bCs w:val="1"/>
          <w:color w:val="003366"/>
          <w:sz w:val="24"/>
          <w:szCs w:val="24"/>
          <w:rtl w:val="0"/>
        </w:rPr>
        <w:br w:type="textWrapping"/>
        <w:br w:type="textWrapping"/>
      </w:r>
    </w:p>
    <w:p w:rsidR="00000000" w:rsidDel="00000000" w:rsidP="00000000" w:rsidRDefault="00000000" w:rsidRPr="00000000" w14:paraId="00000019">
      <w:pPr>
        <w:spacing w:after="80" w:before="200" w:line="360" w:lineRule="auto"/>
        <w:rPr>
          <w:rFonts w:ascii="Times New Roman" w:cs="Times New Roman" w:eastAsia="Times New Roman" w:hAnsi="Times New Roman"/>
          <w:b w:val="1"/>
          <w:bCs w:val="1"/>
          <w:i w:val="1"/>
          <w:iCs w:val="1"/>
          <w:color w:val="1a7ab5"/>
          <w:sz w:val="24"/>
          <w:szCs w:val="24"/>
        </w:rPr>
      </w:pPr>
      <w:r w:rsidDel="00000000" w:rsidR="00000000" w:rsidRPr="00000000">
        <w:rPr>
          <w:rFonts w:ascii="Times New Roman" w:cs="Times New Roman" w:eastAsia="Times New Roman" w:hAnsi="Times New Roman"/>
          <w:b w:val="1"/>
          <w:bCs w:val="1"/>
          <w:i w:val="1"/>
          <w:iCs w:val="1"/>
          <w:color w:val="1a7ab5"/>
          <w:sz w:val="24"/>
          <w:szCs w:val="24"/>
          <w:rtl w:val="0"/>
        </w:rPr>
        <w:t xml:space="preserve">2.1. Acceso a la justicia y lenguaje claro: dos exigencias que convergen</w:t>
      </w:r>
    </w:p>
    <w:p w:rsidR="00000000" w:rsidDel="00000000" w:rsidP="00000000" w:rsidRDefault="00000000" w:rsidRPr="00000000" w14:paraId="0000001A">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El acceso a la justicia es un derecho reconocido en los instrumentos internacionales de derechos humanos con jerarquía constitucional en la Argentina. La Convención Americana sobre Derechos Humanos (art. 8) garantiza el derecho de toda persona a ser oída con las debidas garantías; el Pacto Internacional de Derechos Civiles y Políticos (art. 14) consagra el derecho a un juicio justo; la Constitución Nacional, en su artículo 18, establece que nadie puede ser penado sin juicio previo fundado en ley anterior al hecho del proceso. Estas garantías son meramente formales si la persona no comprende qué se le está comunicando, qué derechos tiene y qué consecuencias se derivan de cada acto procesal.</w:t>
      </w:r>
    </w:p>
    <w:p w:rsidR="00000000" w:rsidDel="00000000" w:rsidP="00000000" w:rsidRDefault="00000000" w:rsidRPr="00000000" w14:paraId="0000001B">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 comprensión efectiva de las notificaciones no es un detalle de trámite, sino un presupuesto fundamental del ejercicio real del derecho de defensa y del debido proceso.</w:t>
      </w:r>
    </w:p>
    <w:p w:rsidR="00000000" w:rsidDel="00000000" w:rsidP="00000000" w:rsidRDefault="00000000" w:rsidRPr="00000000" w14:paraId="0000001C">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 este sentido, el principio de lenguaje claro no es una elección estética sino una exigencia ética y democrática. La Guía de Buenas Prácticas para el Empleo de un Lenguaje Claro y Accesible (Res. SCBA 1131/26) ha consolidado este marco en la Provincia de Buenos Aires, instando a magistrados y funcionarios a abandonar latinismos innecesarios y estructuras sintácticas que oscurecen la comprensión. La Guía identifica ocho principios para un mensaje comprensible, entre los cuales la multicanalidad reviste particular relevancia para nuestra propuesta: reconoce que la comunicación ocurre por distintas vías y canales (escrito, oral, presencial, digital) y que quien comunica debe elegir los medios y modos correctos para cada situación. </w:t>
      </w:r>
      <w:r w:rsidDel="00000000" w:rsidR="00000000" w:rsidRPr="00000000">
        <w:rPr>
          <w:rFonts w:ascii="Times New Roman" w:cs="Times New Roman" w:eastAsia="Times New Roman" w:hAnsi="Times New Roman"/>
          <w:color w:val="1a1a1a"/>
          <w:sz w:val="24"/>
          <w:szCs w:val="24"/>
          <w:rtl w:val="0"/>
        </w:rPr>
        <w:t xml:space="preserve">NotificAR</w:t>
      </w:r>
      <w:r w:rsidDel="00000000" w:rsidR="00000000" w:rsidRPr="00000000">
        <w:rPr>
          <w:rFonts w:ascii="Times New Roman" w:cs="Times New Roman" w:eastAsia="Times New Roman" w:hAnsi="Times New Roman"/>
          <w:color w:val="1a1a1a"/>
          <w:sz w:val="24"/>
          <w:szCs w:val="24"/>
          <w:rtl w:val="0"/>
        </w:rPr>
        <w:t xml:space="preserve"> Clara fue pensada y construida, desde su génesis, como la puesta en práctica tecnológica de ese principio.</w:t>
      </w:r>
    </w:p>
    <w:p w:rsidR="00000000" w:rsidDel="00000000" w:rsidP="00000000" w:rsidRDefault="00000000" w:rsidRPr="00000000" w14:paraId="0000001D">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Las sucesivas convenciones de la Red Panhispánica de Lenguaje Claro y Accesible han enfatizado que la claridad es un presupuesto indispensable para el cumplimiento del debido proceso. No se puede ejercer una defensa efectiva si el acto de comunicación falla en su objetivo primario, que es que el destinatario comprenda no solo el "qué" (la decisión), sino el "cómo" y el "por qué" (los fundamentos y las vías disponibles) de aquello que se le está comunicando.</w:t>
      </w:r>
    </w:p>
    <w:p w:rsidR="00000000" w:rsidDel="00000000" w:rsidP="00000000" w:rsidRDefault="00000000" w:rsidRPr="00000000" w14:paraId="0000001E">
      <w:pPr>
        <w:spacing w:after="80" w:before="200" w:line="360" w:lineRule="auto"/>
        <w:rPr>
          <w:rFonts w:ascii="Times New Roman" w:cs="Times New Roman" w:eastAsia="Times New Roman" w:hAnsi="Times New Roman"/>
          <w:b w:val="1"/>
          <w:bCs w:val="1"/>
          <w:i w:val="1"/>
          <w:iCs w:val="1"/>
          <w:color w:val="1a7ab5"/>
          <w:sz w:val="24"/>
          <w:szCs w:val="24"/>
        </w:rPr>
      </w:pPr>
      <w:r w:rsidDel="00000000" w:rsidR="00000000" w:rsidRPr="00000000">
        <w:rPr>
          <w:rFonts w:ascii="Times New Roman" w:cs="Times New Roman" w:eastAsia="Times New Roman" w:hAnsi="Times New Roman"/>
          <w:b w:val="1"/>
          <w:bCs w:val="1"/>
          <w:i w:val="1"/>
          <w:iCs w:val="1"/>
          <w:color w:val="1a7ab5"/>
          <w:sz w:val="24"/>
          <w:szCs w:val="24"/>
          <w:rtl w:val="0"/>
        </w:rPr>
        <w:t xml:space="preserve">2.2. Accesibilidad, CDPD y Reglas de Brasilia</w:t>
      </w:r>
    </w:p>
    <w:p w:rsidR="00000000" w:rsidDel="00000000" w:rsidP="00000000" w:rsidRDefault="00000000" w:rsidRPr="00000000" w14:paraId="0000001F">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 Convención sobre los Derechos de las Personas con Discapacidad (CDPD), con rango constitucional en la Argentina mediante la Ley 27.044, obliga al Estado a garantizar el acceso a la información y a la justicia en condiciones de igualdad. El modelo social de la discapacidad que adopta la Convención, recogido asimismo en la Guía de Buenas Prácticas para el Acceso a la Justicia de las Personas con Discapacidad de la SCBA, entiende que la discapacidad no se define por la presencia de una deficiencia en sí misma, sino por la interacción entre esa deficiencia y las barreras que el entorno impone para el ejercicio efectivo de derechos. La Corte Interamericana de Derechos Humanos ha ratificado esta lectura en los casos "Guachalá </w:t>
      </w:r>
      <w:r w:rsidDel="00000000" w:rsidR="00000000" w:rsidRPr="00000000">
        <w:rPr>
          <w:rFonts w:ascii="Times New Roman" w:cs="Times New Roman" w:eastAsia="Times New Roman" w:hAnsi="Times New Roman"/>
          <w:color w:val="1a1a1a"/>
          <w:sz w:val="24"/>
          <w:szCs w:val="24"/>
          <w:rtl w:val="0"/>
        </w:rPr>
        <w:t xml:space="preserve">Chimbó</w:t>
      </w:r>
      <w:r w:rsidDel="00000000" w:rsidR="00000000" w:rsidRPr="00000000">
        <w:rPr>
          <w:rFonts w:ascii="Times New Roman" w:cs="Times New Roman" w:eastAsia="Times New Roman" w:hAnsi="Times New Roman"/>
          <w:color w:val="1a1a1a"/>
          <w:sz w:val="24"/>
          <w:szCs w:val="24"/>
          <w:rtl w:val="0"/>
        </w:rPr>
        <w:t xml:space="preserve"> vs. Ecuador" y "Chinchilla Sandoval vs. Guatemala", entre otros.</w:t>
      </w:r>
    </w:p>
    <w:p w:rsidR="00000000" w:rsidDel="00000000" w:rsidP="00000000" w:rsidRDefault="00000000" w:rsidRPr="00000000" w14:paraId="00000020">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Las Reglas de Brasilia sobre Acceso a la Justicia de las Personas en Condición de Vulnerabilidad (versión 2018), de aplicación directa en el sistema bonaerense, son aún más concretas: establecen que toda persona en condición de vulnerabilidad tiene derecho a entender y ser entendida (Regla 58), que en las notificaciones se deben usar términos y estructuras gramaticales simples y comprensibles (Regla 59), y que se deben fomentar los mecanismos necesarios para que esa persona comprenda las actuaciones judiciales en que participe (Regla 61). </w:t>
      </w:r>
      <w:r w:rsidDel="00000000" w:rsidR="00000000" w:rsidRPr="00000000">
        <w:rPr>
          <w:rFonts w:ascii="Times New Roman" w:cs="Times New Roman" w:eastAsia="Times New Roman" w:hAnsi="Times New Roman"/>
          <w:color w:val="1a1a1a"/>
          <w:sz w:val="24"/>
          <w:szCs w:val="24"/>
          <w:rtl w:val="0"/>
        </w:rPr>
        <w:t xml:space="preserve">NotificAR</w:t>
      </w:r>
      <w:r w:rsidDel="00000000" w:rsidR="00000000" w:rsidRPr="00000000">
        <w:rPr>
          <w:rFonts w:ascii="Times New Roman" w:cs="Times New Roman" w:eastAsia="Times New Roman" w:hAnsi="Times New Roman"/>
          <w:color w:val="1a1a1a"/>
          <w:sz w:val="24"/>
          <w:szCs w:val="24"/>
          <w:rtl w:val="0"/>
        </w:rPr>
        <w:t xml:space="preserve"> Clara da respuesta tecnológica a esas tres obligaciones principales, como así también, de manera quizás menos directa, a otras reglas de aplicación (v.gr. reglas 60, 62, 63).</w:t>
      </w:r>
    </w:p>
    <w:p w:rsidR="00000000" w:rsidDel="00000000" w:rsidP="00000000" w:rsidRDefault="00000000" w:rsidRPr="00000000" w14:paraId="00000021">
      <w:pPr>
        <w:spacing w:after="80" w:before="200" w:line="360" w:lineRule="auto"/>
        <w:rPr>
          <w:rFonts w:ascii="Times New Roman" w:cs="Times New Roman" w:eastAsia="Times New Roman" w:hAnsi="Times New Roman"/>
          <w:b w:val="1"/>
          <w:bCs w:val="1"/>
          <w:i w:val="1"/>
          <w:iCs w:val="1"/>
          <w:color w:val="1a7ab5"/>
          <w:sz w:val="24"/>
          <w:szCs w:val="24"/>
        </w:rPr>
      </w:pPr>
      <w:r w:rsidDel="00000000" w:rsidR="00000000" w:rsidRPr="00000000">
        <w:rPr>
          <w:rFonts w:ascii="Times New Roman" w:cs="Times New Roman" w:eastAsia="Times New Roman" w:hAnsi="Times New Roman"/>
          <w:b w:val="1"/>
          <w:bCs w:val="1"/>
          <w:i w:val="1"/>
          <w:iCs w:val="1"/>
          <w:color w:val="1a7ab5"/>
          <w:sz w:val="24"/>
          <w:szCs w:val="24"/>
          <w:rtl w:val="0"/>
        </w:rPr>
        <w:t xml:space="preserve">2.3. Niñas, niños y adolescentes</w:t>
      </w:r>
    </w:p>
    <w:p w:rsidR="00000000" w:rsidDel="00000000" w:rsidP="00000000" w:rsidRDefault="00000000" w:rsidRPr="00000000" w14:paraId="00000022">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 Convención sobre los Derechos del Niño (art. 12) consagra el derecho de NNA a ser escuchados en todo procedimiento judicial que los afecte, lo que es inejecutable si la comunicación no está adaptada a su etapa evolutiva. La Guía para Escuchar a Niños, Niñas y Adolescentes en el Proceso Judicial de la SCBA enfatiza que la forma de citación debe adaptarse a las características individuales de cada NNA, con un lenguaje que reduzca la ansiedad y el miedo que el entorno judicial genera. No se trata solo de simplificar el léxico. Se trata de que el sistema se le presente a ese niño, niña o adolescente como algo comprensible, en lugar de como algo que suena amenazante y más aún si nadie se tomó el trabajo de explicarle.-</w:t>
      </w:r>
    </w:p>
    <w:p w:rsidR="00000000" w:rsidDel="00000000" w:rsidP="00000000" w:rsidRDefault="00000000" w:rsidRPr="00000000" w14:paraId="00000023">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NotificAR Clara contempla perfiles diferenciados por franja etaria (0-6, 7-12 y 13-17 años) y adapta el lenguaje, el tono y el modo de presentación a cada una, en consonancia con la Ley 26.061 de Protección Integral de los Derechos de las Niñas, Niños y Adolescentes. Va de suyo que no es una cuestión fácil la notificación clara a cada franja etaria y probablemente este aspecto necesite de un desarrollo multidisciplinario que permita una adecuación específica en cada caso con mayor imaginación en el uso de herramientas complementarias (gráficos, videos, videojuegos, cuentos, etc), pero entendemos que a los fines de esta ponencia basta para ilustrarlo con los ejemplos contenidos en el piloto, poniendo de resalto que el sistema no se agota en la propuesta sino que también fue pensado para funcionar como puerta de acceso a más y mejores prestaciones futuras.-</w:t>
      </w:r>
    </w:p>
    <w:p w:rsidR="00000000" w:rsidDel="00000000" w:rsidP="00000000" w:rsidRDefault="00000000" w:rsidRPr="00000000" w14:paraId="00000024">
      <w:pPr>
        <w:spacing w:after="80" w:before="200" w:line="360" w:lineRule="auto"/>
        <w:rPr>
          <w:rFonts w:ascii="Times New Roman" w:cs="Times New Roman" w:eastAsia="Times New Roman" w:hAnsi="Times New Roman"/>
          <w:b w:val="1"/>
          <w:bCs w:val="1"/>
          <w:i w:val="1"/>
          <w:iCs w:val="1"/>
          <w:color w:val="1a7ab5"/>
          <w:sz w:val="24"/>
          <w:szCs w:val="24"/>
        </w:rPr>
      </w:pPr>
      <w:r w:rsidDel="00000000" w:rsidR="00000000" w:rsidRPr="00000000">
        <w:rPr>
          <w:rFonts w:ascii="Times New Roman" w:cs="Times New Roman" w:eastAsia="Times New Roman" w:hAnsi="Times New Roman"/>
          <w:b w:val="1"/>
          <w:bCs w:val="1"/>
          <w:i w:val="1"/>
          <w:iCs w:val="1"/>
          <w:color w:val="1a7ab5"/>
          <w:sz w:val="24"/>
          <w:szCs w:val="24"/>
          <w:rtl w:val="0"/>
        </w:rPr>
        <w:t xml:space="preserve">2.4. Personas mayores</w:t>
      </w:r>
    </w:p>
    <w:p w:rsidR="00000000" w:rsidDel="00000000" w:rsidP="00000000" w:rsidRDefault="00000000" w:rsidRPr="00000000" w14:paraId="00000025">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 Convención Interamericana sobre la Protección de los Derechos Humanos de las Personas Mayores (arts. 30 y 31), ratificada por Argentina, obliga al Estado a garantizar el acceso a la justicia en condiciones de igualdad. El envejecimiento no implica en sí mismo una pérdida de capacidad, pero sí impone al Estado la obligación de remover los obstáculos que dificulten el ejercicio de la autonomía. La Guía de Buenas Prácticas para el Acceso a la Justicia de las Personas Mayores de la SCBA provee el marco específico para ese abordaje en el sistema judicial bonaerense.</w:t>
      </w:r>
    </w:p>
    <w:p w:rsidR="00000000" w:rsidDel="00000000" w:rsidP="00000000" w:rsidRDefault="00000000" w:rsidRPr="00000000" w14:paraId="00000026">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NotificAR</w:t>
      </w:r>
      <w:r w:rsidDel="00000000" w:rsidR="00000000" w:rsidRPr="00000000">
        <w:rPr>
          <w:rFonts w:ascii="Times New Roman" w:cs="Times New Roman" w:eastAsia="Times New Roman" w:hAnsi="Times New Roman"/>
          <w:color w:val="1a1a1a"/>
          <w:sz w:val="24"/>
          <w:szCs w:val="24"/>
          <w:rtl w:val="0"/>
        </w:rPr>
        <w:t xml:space="preserve"> Clara incluye a los adultos mayores como categoría específica de destinatario, activando automáticamente las funciones de accesibilidad reforzada y el recordatorio del derecho a concurrir acompañado por una persona de apoyo. Se incorporó además en esta sección, la opción de agendar automáticamente la fecha de la cita o del vencimiento en el calendario que tienen los dispositivos celulares, a fin de superar barreras tecnológicas. Esta funcionalidad, por su utilidad, luego se extendió a todo el sistema, hecho que </w:t>
      </w:r>
      <w:r w:rsidDel="00000000" w:rsidR="00000000" w:rsidRPr="00000000">
        <w:rPr>
          <w:rFonts w:ascii="Times New Roman" w:cs="Times New Roman" w:eastAsia="Times New Roman" w:hAnsi="Times New Roman"/>
          <w:color w:val="1a1a1a"/>
          <w:sz w:val="24"/>
          <w:szCs w:val="24"/>
          <w:rtl w:val="0"/>
        </w:rPr>
        <w:t xml:space="preserve">remarcamos</w:t>
      </w:r>
      <w:r w:rsidDel="00000000" w:rsidR="00000000" w:rsidRPr="00000000">
        <w:rPr>
          <w:rFonts w:ascii="Times New Roman" w:cs="Times New Roman" w:eastAsia="Times New Roman" w:hAnsi="Times New Roman"/>
          <w:color w:val="1a1a1a"/>
          <w:sz w:val="24"/>
          <w:szCs w:val="24"/>
          <w:rtl w:val="0"/>
        </w:rPr>
        <w:t xml:space="preserve"> porque nos demostró una vez más, como el pensar soluciones para los problemas de un grupo, redundan en el descubrimiento de un problema común transversal a todos los ciudadanos.-</w:t>
      </w:r>
    </w:p>
    <w:p w:rsidR="00000000" w:rsidDel="00000000" w:rsidP="00000000" w:rsidRDefault="00000000" w:rsidRPr="00000000" w14:paraId="00000027">
      <w:pPr>
        <w:pBdr>
          <w:top w:color="auto" w:space="0" w:sz="0" w:val="none"/>
          <w:left w:color="auto" w:space="0" w:sz="0" w:val="none"/>
          <w:bottom w:color="1a7ab5" w:space="0" w:sz="5" w:val="single"/>
          <w:right w:color="auto" w:space="0" w:sz="0" w:val="none"/>
        </w:pBdr>
        <w:spacing w:after="120" w:before="280" w:line="360" w:lineRule="auto"/>
        <w:rPr>
          <w:rFonts w:ascii="Times New Roman" w:cs="Times New Roman" w:eastAsia="Times New Roman" w:hAnsi="Times New Roman"/>
          <w:b w:val="1"/>
          <w:bCs w:val="1"/>
          <w:color w:val="003366"/>
          <w:sz w:val="24"/>
          <w:szCs w:val="24"/>
        </w:rPr>
      </w:pPr>
      <w:r w:rsidDel="00000000" w:rsidR="00000000" w:rsidRPr="00000000">
        <w:rPr>
          <w:rFonts w:ascii="Times New Roman" w:cs="Times New Roman" w:eastAsia="Times New Roman" w:hAnsi="Times New Roman"/>
          <w:b w:val="1"/>
          <w:bCs w:val="1"/>
          <w:color w:val="003366"/>
          <w:sz w:val="24"/>
          <w:szCs w:val="24"/>
          <w:rtl w:val="0"/>
        </w:rPr>
        <w:t xml:space="preserve">3. El sistema: arquitectura, funcionamiento y accesibilidad</w:t>
      </w:r>
    </w:p>
    <w:p w:rsidR="00000000" w:rsidDel="00000000" w:rsidP="00000000" w:rsidRDefault="00000000" w:rsidRPr="00000000" w14:paraId="00000028">
      <w:pPr>
        <w:spacing w:after="80" w:before="240" w:line="360" w:lineRule="auto"/>
        <w:rPr>
          <w:rFonts w:ascii="Times New Roman" w:cs="Times New Roman" w:eastAsia="Times New Roman" w:hAnsi="Times New Roman"/>
          <w:b w:val="1"/>
          <w:bCs w:val="1"/>
          <w:color w:val="003366"/>
          <w:sz w:val="24"/>
          <w:szCs w:val="24"/>
        </w:rPr>
      </w:pPr>
      <w:r w:rsidDel="00000000" w:rsidR="00000000" w:rsidRPr="00000000">
        <w:rPr>
          <w:rFonts w:ascii="Times New Roman" w:cs="Times New Roman" w:eastAsia="Times New Roman" w:hAnsi="Times New Roman"/>
          <w:b w:val="1"/>
          <w:bCs w:val="1"/>
          <w:color w:val="003366"/>
          <w:sz w:val="24"/>
          <w:szCs w:val="24"/>
          <w:rtl w:val="0"/>
        </w:rPr>
        <w:br w:type="textWrapping"/>
        <w:br w:type="textWrapping"/>
      </w:r>
    </w:p>
    <w:p w:rsidR="00000000" w:rsidDel="00000000" w:rsidP="00000000" w:rsidRDefault="00000000" w:rsidRPr="00000000" w14:paraId="00000029">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Con el marco normativo establecido, el sistema puede describirse en dos dimensiones complementarias: su arquitectura y modo de funcionamiento concreto, y las decisiones de diseño que hacen de la accesibilidad una condición estructural del sistema desde el inicio, y no un complemento agregado a posteriori.</w:t>
      </w:r>
    </w:p>
    <w:p w:rsidR="00000000" w:rsidDel="00000000" w:rsidP="00000000" w:rsidRDefault="00000000" w:rsidRPr="00000000" w14:paraId="0000002A">
      <w:pPr>
        <w:spacing w:after="80" w:before="200" w:line="360" w:lineRule="auto"/>
        <w:rPr>
          <w:rFonts w:ascii="Times New Roman" w:cs="Times New Roman" w:eastAsia="Times New Roman" w:hAnsi="Times New Roman"/>
          <w:b w:val="1"/>
          <w:bCs w:val="1"/>
          <w:i w:val="1"/>
          <w:iCs w:val="1"/>
          <w:color w:val="1a7ab5"/>
          <w:sz w:val="24"/>
          <w:szCs w:val="24"/>
        </w:rPr>
      </w:pPr>
      <w:r w:rsidDel="00000000" w:rsidR="00000000" w:rsidRPr="00000000">
        <w:rPr>
          <w:rFonts w:ascii="Times New Roman" w:cs="Times New Roman" w:eastAsia="Times New Roman" w:hAnsi="Times New Roman"/>
          <w:b w:val="1"/>
          <w:bCs w:val="1"/>
          <w:i w:val="1"/>
          <w:iCs w:val="1"/>
          <w:color w:val="1a7ab5"/>
          <w:sz w:val="24"/>
          <w:szCs w:val="24"/>
          <w:rtl w:val="0"/>
        </w:rPr>
        <w:t xml:space="preserve">3.1. Arquitectura y funcionamiento</w:t>
      </w:r>
    </w:p>
    <w:p w:rsidR="00000000" w:rsidDel="00000000" w:rsidP="00000000" w:rsidRDefault="00000000" w:rsidRPr="00000000" w14:paraId="0000002B">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NotificAR Clara es un sistema de mediación comunicacional que opera en tres capas. La primera procesa el texto de la notificación mediante inteligencia artificial y lo traduce al lenguaje claro, adaptando la explicación al tipo de acto procesal y al perfil del destinatario. La segunda presenta esa traducción a través de una asistente virtual de </w:t>
      </w:r>
      <w:r w:rsidDel="00000000" w:rsidR="00000000" w:rsidRPr="00000000">
        <w:rPr>
          <w:rFonts w:ascii="Times New Roman" w:cs="Times New Roman" w:eastAsia="Times New Roman" w:hAnsi="Times New Roman"/>
          <w:color w:val="1a1a1a"/>
          <w:sz w:val="24"/>
          <w:szCs w:val="24"/>
          <w:rtl w:val="0"/>
        </w:rPr>
        <w:t xml:space="preserve">video</w:t>
      </w:r>
      <w:r w:rsidDel="00000000" w:rsidR="00000000" w:rsidRPr="00000000">
        <w:rPr>
          <w:rFonts w:ascii="Times New Roman" w:cs="Times New Roman" w:eastAsia="Times New Roman" w:hAnsi="Times New Roman"/>
          <w:color w:val="1a1a1a"/>
          <w:sz w:val="24"/>
          <w:szCs w:val="24"/>
          <w:rtl w:val="0"/>
        </w:rPr>
        <w:t xml:space="preserve">, Clara, que explica el acto con voz, subtítulos y léxico accesibles adaptados al contexto bonaerense (o al contexto que lo requiera). La tercera ofrece un canal de contacto con el órgano que emitió la notificación o con su abogado o defensora designados en la causa, para consultas o seguimiento. En caso de que sea la primera notificación que se le cursa, y siempre que no sea como testigo, se le notifica que debe consultar con un abogado ya que la representación o acompañamiento letrado es, en principio obligatoria y que en caso de no tener abogado de confianza lo deriva con el Colegio de Abogados de la jurisdicción donde podrá pedir el listado de profesionales y que, en caso de no hacer uso de su derecho a optar por un abogado de su confianza, será asistido por el defensor oficial que por turno corresponda, brindando ambos canales de comunicación.-</w:t>
      </w:r>
    </w:p>
    <w:p w:rsidR="00000000" w:rsidDel="00000000" w:rsidP="00000000" w:rsidRDefault="00000000" w:rsidRPr="00000000" w14:paraId="0000002C">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El mecanismo es simple. El operador del órgano judicial (funcionario, empleado o notificador) ingresa el texto de la notificación en un panel web, selecciona el tipo de acto procesal y el perfil del destinatario (imputado, testigo, víctima, demandado, NNA, adulto mayor, persona con discapacidad, entre otros), y el sistema genera automáticamente la explicación en lenguaje claro y un código QR único vinculado a ese acto. Ese QR se incorpora al documento, impreso o digital, que se entregará o enviará a la persona. Al escanearlo con la cámara del celular, sin necesidad de instalar ninguna aplicación, se accede a la página explicativa.</w:t>
      </w:r>
    </w:p>
    <w:p w:rsidR="00000000" w:rsidDel="00000000" w:rsidP="00000000" w:rsidRDefault="00000000" w:rsidRPr="00000000" w14:paraId="0000002D">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Entendemos que es una novedad destacable de nuestra propuesta, la incorporación de triaje en las notificaciones, escalable a otras funciones de los sistemas de causas. Notificar Clara</w:t>
      </w:r>
      <w:r w:rsidDel="00000000" w:rsidR="00000000" w:rsidRPr="00000000">
        <w:rPr>
          <w:rFonts w:ascii="Times New Roman" w:cs="Times New Roman" w:eastAsia="Times New Roman" w:hAnsi="Times New Roman"/>
          <w:sz w:val="24"/>
          <w:szCs w:val="24"/>
          <w:rtl w:val="0"/>
        </w:rPr>
        <w:t xml:space="preserve"> asigna a cada notificación un nivel de urgencia (rojo, amarillo o verde) en el momento en que la inteligencia artificial procesa el texto. No es una clasificación fija por tipo de acto sino una lectura del caso concreto: el sistema analiza qué se está notificando, qué plazos están corriendo y qué consecuencias concretas tiene la inacción del destinatario. Una sentencia condenatoria con plazo de apelación en curso es roja aunque el tipo de acto sea el mismo que una sentencia ya firme, que puede ser amarilla o verde. El operador judicial, además, puede modificar ese nivel manualmente antes de embeber el QR, porque hay contexto que la IA no tiene acceso a leer. No sabe, por ejemplo, si esa persona ya habló con su abogada esa mañana, o si el plazo en realidad fue suspendido por una medida cautelar que todavía no está en el expediente digital, entre otra infinidad de supuestos casuísticos. El triaje, entonces, no reemplaza el criterio del operador; lo apoya, y le da una base desde donde corregir en vez de una pantalla en blanco desde donde empezar.</w:t>
      </w:r>
    </w:p>
    <w:p w:rsidR="00000000" w:rsidDel="00000000" w:rsidP="00000000" w:rsidRDefault="00000000" w:rsidRPr="00000000" w14:paraId="0000002E">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decisión de incorporar el triaje también en las notificaciones dirigidas a letrados surgió de la experiencia cotidiana anterior en el ejercicio de la profesión de forma liberal ya que quien lleva varias decenas de causas simultáneas necesita poder identificar con rapidez qué notificación requiere atención inmediata y cuál puede esperar a la tarde. El sistema genera para los profesionales una versión reducida de la página, sin la explicación en lenguaje claro que está pensada para el ciudadano lego, pero con el semáforo de urgencia visible y el motivo que lo fundamenta. Está pensado como una herramienta simple de ayuda, no como un dictamen: el triage no es vinculante en ningún caso, no reemplaza el criterio del abogado ni pretende hacerlo, y el profesional puede ignorarlo completamente si lo considera incorrecto o irrelevante. Es, simplemente, una primera lectura que el sistema ofrece y que cada uno usará o descartará según le resulte útil.- </w:t>
      </w:r>
    </w:p>
    <w:p w:rsidR="00000000" w:rsidDel="00000000" w:rsidP="00000000" w:rsidRDefault="00000000" w:rsidRPr="00000000" w14:paraId="0000002F">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Fuera de ese supuesto, la persona recibe la explicación en dos formatos simultáneos: un video de Clara, con subtítulos sincronizados, y el texto de la explicación para consulta posterior. A continuación puede formular preguntas sobre el contenido específico del acto. Cuando la respuesta excede lo que el sistema puede brindar con la precisión necesaria, la interfaz lo indica y ofrece los contactos directos del órgano emisor y de la representación letrada. La persona puede también acceder al documento judicial original y enviárselo a su abogado con un toque, mediante un enlace preconfigurado. En todos los casos, la persona puede optar también por escuchar el texto correspondiente y hacer sus preguntas mediante mensajes de voz.-</w:t>
      </w:r>
    </w:p>
    <w:p w:rsidR="00000000" w:rsidDel="00000000" w:rsidP="00000000" w:rsidRDefault="00000000" w:rsidRPr="00000000" w14:paraId="00000030">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Una funcionalidad merece consideración aparte: la primera notificación en calidad de imputado o demandado. Ese primer encuentro con el sistema procesal en calidad de parte pasiva, sin orientación legal previa, es uno de los momentos de mayor vulnerabilidad en el acceso a la justicia. Para ese caso, el sistema incorpora un panel informativo previo a la explicación del acto que comunica, con la mayor claridad posible, qué debe consultar con un abogado ya que la representación o acompañamiento letrado es, en principio, obligatoria. En caso de no tener abogado de confianza, el sistema también podrá derivarlo con el Colegio de Abogados de la jurisdicción donde podrá pedir el listado de profesionales (lo que entendemos requerirá de convenio de colaboración con dichas instituciones) y que, en caso de no hacer uso de su derecho a optar por un abogado de su confianza, será asistido por el defensor oficial que por turno corresponda, brindando ambos canales de comunicación.-</w:t>
      </w:r>
    </w:p>
    <w:p w:rsidR="00000000" w:rsidDel="00000000" w:rsidP="00000000" w:rsidRDefault="00000000" w:rsidRPr="00000000" w14:paraId="00000031">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El sistema piloto contempla diez tipos de actos procesales y once perfiles de destinatarios. Para el detalle de la arquitectura técnica, la infraestructura de soporte y los criterios de selección de herramientas, remitimos al manual que integra esta propuesta y puede consultarse en el sitio del sistema.</w:t>
      </w:r>
    </w:p>
    <w:p w:rsidR="00000000" w:rsidDel="00000000" w:rsidP="00000000" w:rsidRDefault="00000000" w:rsidRPr="00000000" w14:paraId="00000032">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Interesa subrayar aquí una decisión de diseño que tiene consecuencias normativas y prácticas: el sistema no modifica ni reemplaza el QR de autenticación que ya incorporan algunos sistemas de notificación digital, sino que añade un segundo QR, el "QR explicador", sobre la misma infraestructura existente. Esta arquitectura de intervención mínima significa que la adopción del sistema no exige modificar los sistemas informáticos judiciales vigentes, no altera la validez jurídica de los documentos originales y puede implementarse de manera gradual, órgano por órgano, sin necesidad de una decisión centralizada de alcance provincial como condición previa. Será decisión de la autoridad correspondiente la forma de embeber este segundo QR en la notificación, permitiéndonos sugerir que sea en un lugar claro, visible y destacado de la primer hoja de la notificación, para que facilite su localización por parte de la persona notificada, como la explicación del mismo por parte del oficial notificador.</w:t>
      </w:r>
    </w:p>
    <w:p w:rsidR="00000000" w:rsidDel="00000000" w:rsidP="00000000" w:rsidRDefault="00000000" w:rsidRPr="00000000" w14:paraId="00000033">
      <w:pPr>
        <w:spacing w:after="80" w:before="200" w:line="360" w:lineRule="auto"/>
        <w:rPr>
          <w:rFonts w:ascii="Times New Roman" w:cs="Times New Roman" w:eastAsia="Times New Roman" w:hAnsi="Times New Roman"/>
          <w:b w:val="1"/>
          <w:bCs w:val="1"/>
          <w:i w:val="1"/>
          <w:iCs w:val="1"/>
          <w:color w:val="1a7ab5"/>
          <w:sz w:val="24"/>
          <w:szCs w:val="24"/>
        </w:rPr>
      </w:pPr>
      <w:r w:rsidDel="00000000" w:rsidR="00000000" w:rsidRPr="00000000">
        <w:rPr>
          <w:rFonts w:ascii="Times New Roman" w:cs="Times New Roman" w:eastAsia="Times New Roman" w:hAnsi="Times New Roman"/>
          <w:b w:val="1"/>
          <w:bCs w:val="1"/>
          <w:i w:val="1"/>
          <w:iCs w:val="1"/>
          <w:color w:val="1a7ab5"/>
          <w:sz w:val="24"/>
          <w:szCs w:val="24"/>
          <w:rtl w:val="0"/>
        </w:rPr>
        <w:t xml:space="preserve">3.2. Accesibilidad como condición de diseño</w:t>
      </w:r>
    </w:p>
    <w:p w:rsidR="00000000" w:rsidDel="00000000" w:rsidP="00000000" w:rsidRDefault="00000000" w:rsidRPr="00000000" w14:paraId="00000034">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El diseño accesible de NotificAR Clara no es una adición posterior al sistema: es una condición de su arquitectura desde el inicio. Esa decisión tiene un fundamento normativo claro en las guías de buenas prácticas aprobadas por la SCBA en materia de discapacidad, NNA y personas mayores, y también una razón de coherencia interna: un sistema pensado para mejorar el acceso a la justicia que excluye a quienes tienen mayores dificultades para ejercerlo contradiría su propio propósito.</w:t>
      </w:r>
    </w:p>
    <w:p w:rsidR="00000000" w:rsidDel="00000000" w:rsidP="00000000" w:rsidRDefault="00000000" w:rsidRPr="00000000" w14:paraId="00000035">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 Guía de Buenas Prácticas (Res. SCBA 1131/26) denominan "medidas afirmativas y ajustes de procedimiento" a las herramientas que </w:t>
      </w:r>
      <w:r w:rsidDel="00000000" w:rsidR="00000000" w:rsidRPr="00000000">
        <w:rPr>
          <w:rFonts w:ascii="Times New Roman" w:cs="Times New Roman" w:eastAsia="Times New Roman" w:hAnsi="Times New Roman"/>
          <w:color w:val="1a1a1a"/>
          <w:sz w:val="24"/>
          <w:szCs w:val="24"/>
          <w:rtl w:val="0"/>
        </w:rPr>
        <w:t xml:space="preserve">remueven</w:t>
      </w:r>
      <w:r w:rsidDel="00000000" w:rsidR="00000000" w:rsidRPr="00000000">
        <w:rPr>
          <w:rFonts w:ascii="Times New Roman" w:cs="Times New Roman" w:eastAsia="Times New Roman" w:hAnsi="Times New Roman"/>
          <w:color w:val="1a1a1a"/>
          <w:sz w:val="24"/>
          <w:szCs w:val="24"/>
          <w:rtl w:val="0"/>
        </w:rPr>
        <w:t xml:space="preserve"> activamente las barreras que obstaculizan el ejercicio igualitario de derechos. NotificAR Clara las implementa en varias dimensiones: activación automática del modo de alto contraste y tipografía ampliada para personas con discapacidad visual y adultos mayores; subtítulos sincronizados en el video de Clara para personas con discapacidad auditiva; identificación visible de un referente de atención personalizada en el organismo judicial ("al llegar, pregunte por [nombre]"); recordatorio del derecho a concurrir acompañado por una persona de apoyo; y un canal de comunicación directa con el órgano para que la persona informe qué ajuste razonable le resulta más adecuado a sus necesidades.</w:t>
      </w:r>
    </w:p>
    <w:p w:rsidR="00000000" w:rsidDel="00000000" w:rsidP="00000000" w:rsidRDefault="00000000" w:rsidRPr="00000000" w14:paraId="00000036">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Estas funciones no reemplazan el deber del operador judicial de proporcionar ajustes razonables en el proceso mismo. Lo que hacen es extender ese deber hasta el momento en que la notificación llega a manos de la persona, que es precisamente el momento anterior a cualquier contacto con el sistema y el punto donde la barrera comunicacional suele ser mayor.</w:t>
      </w:r>
    </w:p>
    <w:p w:rsidR="00000000" w:rsidDel="00000000" w:rsidP="00000000" w:rsidRDefault="00000000" w:rsidRPr="00000000" w14:paraId="00000037">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Pese a la distancia que puede existir entre las obligaciones convencionales y su traducción en prácticas concretas, NotificAR Clara intenta acortar esa distancia de un modo medible. Cada acceso al sistema, cada pregunta formulada y cada contacto iniciado con el órgano emisor son datos que permiten mejoras iterativas y que proveen evidencia sobre el funcionamiento de las medidas de accesibilidad en condiciones reales.</w:t>
      </w:r>
    </w:p>
    <w:p w:rsidR="00000000" w:rsidDel="00000000" w:rsidP="00000000" w:rsidRDefault="00000000" w:rsidRPr="00000000" w14:paraId="00000038">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El sistema identifica las notificaciones dirigidas a personas con discapacidad declarada con un marcador visual propio en el panel del operador, diferenciado del semáforo de urgencia habitual. Eso le permite saber, antes de imprimir el QR y antes de que la persona llegue al organismo, que está frente a una situación que requiere atención diferenciada. Pero el sistema no se queda en el aviso al operador ya que desde la misma página que abre el ciudadano al escanear el código, hay un botón que le permite comunicarse directamente con el organismo y decirle qué ajuste necesita para participar del acto. No es el juzgado quien decide qué ajuste corresponde y lo impone; es la persona quien lo pide, con sus palabras, a través de un canal que ya tiene el número correcto cargado. Eso cambia algo que parece pequeño pero no lo es: convierte a la persona con discapacidad en interlocutora activa del proceso, no en destinataria pasiva de una decisión que se tomó sin preguntarle.</w:t>
      </w:r>
    </w:p>
    <w:p>
      <w:pPr>
        <w:jc w:val="center"/>
        <w:spacing w:before="180" w:after="0"/>
        <w:pBdr/>
      </w:pPr>
      <w:r>
        <w:rPr>
          <w:b/>
          <w:color w:val="003366"/>
          <w:sz w:val="20"/>
          <w:highlight w:val="yellow"/>
        </w:rPr>
        <w:t>[ IMAGEN 2 — Panel del operador: QR generado con indicador de discapacidad visible — 9 cm de ancho, centrada ]</w:t>
      </w:r>
    </w:p>
    <w:p>
      <w:pPr>
        <w:jc w:val="center"/>
        <w:spacing w:before="40" w:after="240"/>
      </w:pPr>
      <w:r>
        <w:rPr>
          <w:i/>
          <w:sz w:val="18"/>
        </w:rPr>
        <w:t>Imagen 2. Vista del panel del operador tras generar el QR: indicador diferenciado para notificaciones con ajuste razonable activado. (notificar-clara.vercel.app)</w:t>
      </w:r>
    </w:p>
    <w:p w:rsidR="00000000" w:rsidDel="00000000" w:rsidP="00000000" w:rsidRDefault="00000000" w:rsidRPr="00000000" w14:paraId="00000039">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Para las personas con discapacidad visual, la página se adapta automáticamente al cargar: activa el modo de alto contraste y aumenta el tamaño del texto al máximo sin que la persona tenga que buscar ninguna opción. El botón de audio está siempre visible y en el primer plano de la pantalla. Cuando la persona lo toca por primera vez, el sistema vibra levemente y anuncia en voz alta lo que ese botón hace, antes de que ella decida presionarlo. La lógica es simple: quien no puede leer la pantalla tampoco puede leer la etiqueta del botón, así que el sistema se presenta solo.</w:t>
      </w:r>
    </w:p>
    <w:p>
      <w:pPr>
        <w:jc w:val="center"/>
        <w:spacing w:before="180" w:after="0"/>
        <w:pBdr/>
      </w:pPr>
      <w:r>
        <w:rPr>
          <w:b/>
          <w:color w:val="003366"/>
          <w:sz w:val="20"/>
          <w:highlight w:val="yellow"/>
        </w:rPr>
        <w:t>[ IMAGEN 3 — Pantalla del ciudadano: video explicativo de Clara IA en reproducción — 9 cm de ancho, centrada ]</w:t>
      </w:r>
    </w:p>
    <w:p>
      <w:pPr>
        <w:jc w:val="center"/>
        <w:spacing w:before="40" w:after="240"/>
      </w:pPr>
      <w:r>
        <w:rPr>
          <w:i/>
          <w:sz w:val="18"/>
        </w:rPr>
        <w:t>Imagen 3. Pantalla inicial del ciudadano al escanear el QR: video explicativo de Clara IA presentando el contenido de la notificación. (notificar-clara.vercel.app)</w:t>
      </w:r>
    </w:p>
    <w:p w:rsidR="00000000" w:rsidDel="00000000" w:rsidP="00000000" w:rsidRDefault="00000000" w:rsidRPr="00000000" w14:paraId="0000003A">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Para las personas con discapacidad auditiva, la adaptación es distinta porque el canal principal ya es visual. El sistema genera una versión de la notificación con párrafos más cortos, sin subordinadas complejas, sin frases que dependan de la entonación para tener sentido. Elimina también los elementos que en la versión estándar funcionan como señales sonoras, como la indicación de escuchar en voz alta, que para este perfil sencillamente no aparece. Lo que queda es un texto limpio, directo y fácil de recorrer en una sola pasada.</w:t>
      </w:r>
    </w:p>
    <w:p>
      <w:pPr>
        <w:jc w:val="center"/>
        <w:spacing w:before="180" w:after="0"/>
        <w:pBdr/>
      </w:pPr>
      <w:r>
        <w:rPr>
          <w:b/>
          <w:color w:val="003366"/>
          <w:sz w:val="20"/>
          <w:highlight w:val="yellow"/>
        </w:rPr>
        <w:t>[ IMAGEN 4 — Pantalla del ciudadano: explicación en lenguaje claro con botones de audio y alto contraste visibles — 9 cm de ancho, centrada ]</w:t>
      </w:r>
    </w:p>
    <w:p>
      <w:pPr>
        <w:jc w:val="center"/>
        <w:spacing w:before="40" w:after="240"/>
      </w:pPr>
      <w:r>
        <w:rPr>
          <w:i/>
          <w:sz w:val="18"/>
        </w:rPr>
        <w:t>Imagen 4. Vista de la explicación en lenguaje claro: título, nivel de urgencia, datos clave y botones de accesibilidad (escucha en voz alta y alto contraste). (notificar-clara.vercel.app)</w:t>
      </w:r>
    </w:p>
    <w:p w:rsidR="00000000" w:rsidDel="00000000" w:rsidP="00000000" w:rsidRDefault="00000000" w:rsidRPr="00000000" w14:paraId="0000003B">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Para las personas con discapacidad motriz, el ajuste no está en el contenido sino en la interacción. Los botones son más grandes, el espacio entre elementos táctiles es mayor para reducir errores de toque, y los formularios de contacto están diseñados para funcionar con el mínimo de pasos posibles. El sistema además incluye, cuando el operador lo carga, la información sobre el acceso físico accesible al organismo: rampa, ascensor, entrada lateral, todo lo que le permite a esa persona planificar la concurrencia sin tener que llamar a preguntar lo que muchas veces nadie sabe responder con precisión.</w:t>
      </w:r>
    </w:p>
    <w:p w:rsidR="00000000" w:rsidDel="00000000" w:rsidP="00000000" w:rsidRDefault="00000000" w:rsidRPr="00000000" w14:paraId="0000003C">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Para las personas con discapacidad intelectual, la adaptación es la más exigente de todas porque no alcanza con adaptar el vocabulario. El sistema genera explicaciones con oraciones de una sola idea cada una, sin </w:t>
      </w:r>
      <w:r w:rsidDel="00000000" w:rsidR="00000000" w:rsidRPr="00000000">
        <w:rPr>
          <w:rFonts w:ascii="Times New Roman" w:cs="Times New Roman" w:eastAsia="Times New Roman" w:hAnsi="Times New Roman"/>
          <w:color w:val="1a1a1a"/>
          <w:sz w:val="24"/>
          <w:szCs w:val="24"/>
          <w:rtl w:val="0"/>
        </w:rPr>
        <w:t xml:space="preserve">condicionales</w:t>
      </w:r>
      <w:r w:rsidDel="00000000" w:rsidR="00000000" w:rsidRPr="00000000">
        <w:rPr>
          <w:rFonts w:ascii="Times New Roman" w:cs="Times New Roman" w:eastAsia="Times New Roman" w:hAnsi="Times New Roman"/>
          <w:color w:val="1a1a1a"/>
          <w:sz w:val="24"/>
          <w:szCs w:val="24"/>
          <w:rtl w:val="0"/>
        </w:rPr>
        <w:t xml:space="preserve">, sin subordinadas, sin plazos que requieran calcular mentalmente. Usa listas en lugar de párrafos cuando hay pasos a seguir, y repite la información clave en más de un lugar de la página, porque entendemos que la reiteración en este perfil no es redundancia sino accesibilidad. El sistema advierte también al operador que para este caso se recomienda que la notificación sea acompañada por alguien con formación específica o por el equipo técnico del organismo, porque hay un límite de lo que puede resolver la pantalla sola o el propio oficial notificador no especializado.</w:t>
      </w:r>
    </w:p>
    <w:p w:rsidR="00000000" w:rsidDel="00000000" w:rsidP="00000000" w:rsidRDefault="00000000" w:rsidRPr="00000000" w14:paraId="0000003D">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 todos los casos, el operador puede cargar en el panel el nombre y el cargo de la persona del organismo que va a estar a cargo de recibirla o atenderla, sea de manera presencial o remota. Ese dato aparece en la página del ciudadano de forma destacada, no como una línea perdida entre la información procesal, sino como una respuesta concreta a la pregunta que casi toda persona con discapacidad tiene antes de llegar a un lugar desconocido, que es a quién le pregunta cuando llegue y quién sabe que vengo. Eso reduce la ansiedad de un trámite que de por sí genera ansiedad, permitiendo que la persona puede dirigirse de manera directa a su referente. Pero tiene además una segunda función que no es menor: obliga al organismo a designar a alguien antes de que la persona llegue, y le da a esa persona designada tiempo y motivo para prepararse. La notificación deja de ser solo un aviso para el ciudadano y pasa a ser también una herramienta de organización interna del organismo, que sabe de antemano que ese día, a esa hora, va a llegar alguien que necesita una atención específica y que ya tiene nombre y apellido y puede asignar la tarea de forma programada a la persona más capacitada (formal o informalmente) para atenderla. También permite, en caso de no contar con alguien con la capacidad específica requerida, solicitar anticipadamente la colaboración de otro organismo en la tarea.-.-</w:t>
      </w:r>
    </w:p>
    <w:p>
      <w:pPr>
        <w:jc w:val="center"/>
        <w:spacing w:before="180" w:after="0"/>
        <w:pBdr/>
      </w:pPr>
      <w:r>
        <w:rPr>
          <w:b/>
          <w:color w:val="003366"/>
          <w:sz w:val="20"/>
          <w:highlight w:val="yellow"/>
        </w:rPr>
        <w:t>[ IMAGEN 5 — Pantalla del ciudadano: sección de contacto con botones de WhatsApp y formulario de consultas — 9 cm de ancho, centrada ]</w:t>
      </w:r>
    </w:p>
    <w:p>
      <w:pPr>
        <w:jc w:val="center"/>
        <w:spacing w:before="40" w:after="240"/>
      </w:pPr>
      <w:r>
        <w:rPr>
          <w:i/>
          <w:sz w:val="18"/>
        </w:rPr>
        <w:t>Imagen 5. Sección inferior de la pantalla del ciudadano: botones de contacto directo con el organismo, el abogado defensor y formulario de preguntas. (notificar-clara.vercel.app)</w:t>
      </w:r>
    </w:p>
    <w:p w:rsidR="00000000" w:rsidDel="00000000" w:rsidP="00000000" w:rsidRDefault="00000000" w:rsidRPr="00000000" w14:paraId="0000003E">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br w:type="textWrapping"/>
        <w:br w:type="textWrapping"/>
      </w:r>
    </w:p>
    <w:p w:rsidR="00000000" w:rsidDel="00000000" w:rsidP="00000000" w:rsidRDefault="00000000" w:rsidRPr="00000000" w14:paraId="0000003F">
      <w:pPr>
        <w:pBdr>
          <w:top w:color="auto" w:space="0" w:sz="0" w:val="none"/>
          <w:left w:color="auto" w:space="0" w:sz="0" w:val="none"/>
          <w:bottom w:color="1a7ab5" w:space="0" w:sz="5" w:val="single"/>
          <w:right w:color="auto" w:space="0" w:sz="0" w:val="none"/>
        </w:pBdr>
        <w:spacing w:after="120" w:before="280" w:line="360" w:lineRule="auto"/>
        <w:rPr>
          <w:rFonts w:ascii="Times New Roman" w:cs="Times New Roman" w:eastAsia="Times New Roman" w:hAnsi="Times New Roman"/>
          <w:b w:val="1"/>
          <w:bCs w:val="1"/>
          <w:color w:val="003366"/>
          <w:sz w:val="24"/>
          <w:szCs w:val="24"/>
        </w:rPr>
      </w:pPr>
      <w:r w:rsidDel="00000000" w:rsidR="00000000" w:rsidRPr="00000000">
        <w:rPr>
          <w:rFonts w:ascii="Times New Roman" w:cs="Times New Roman" w:eastAsia="Times New Roman" w:hAnsi="Times New Roman"/>
          <w:b w:val="1"/>
          <w:bCs w:val="1"/>
          <w:color w:val="003366"/>
          <w:sz w:val="24"/>
          <w:szCs w:val="24"/>
          <w:rtl w:val="0"/>
        </w:rPr>
        <w:t xml:space="preserve">4. Viabilidad, impacto y conclusiones</w:t>
      </w:r>
    </w:p>
    <w:p w:rsidR="00000000" w:rsidDel="00000000" w:rsidP="00000000" w:rsidRDefault="00000000" w:rsidRPr="00000000" w14:paraId="00000040">
      <w:pPr>
        <w:spacing w:after="80" w:before="240" w:line="360" w:lineRule="auto"/>
        <w:rPr>
          <w:rFonts w:ascii="Times New Roman" w:cs="Times New Roman" w:eastAsia="Times New Roman" w:hAnsi="Times New Roman"/>
          <w:b w:val="1"/>
          <w:bCs w:val="1"/>
          <w:color w:val="003366"/>
          <w:sz w:val="24"/>
          <w:szCs w:val="24"/>
        </w:rPr>
      </w:pPr>
      <w:r w:rsidDel="00000000" w:rsidR="00000000" w:rsidRPr="00000000">
        <w:rPr>
          <w:rFonts w:ascii="Times New Roman" w:cs="Times New Roman" w:eastAsia="Times New Roman" w:hAnsi="Times New Roman"/>
          <w:b w:val="1"/>
          <w:bCs w:val="1"/>
          <w:color w:val="003366"/>
          <w:sz w:val="24"/>
          <w:szCs w:val="24"/>
          <w:rtl w:val="0"/>
        </w:rPr>
        <w:br w:type="textWrapping"/>
        <w:br w:type="textWrapping"/>
      </w:r>
    </w:p>
    <w:p w:rsidR="00000000" w:rsidDel="00000000" w:rsidP="00000000" w:rsidRDefault="00000000" w:rsidRPr="00000000" w14:paraId="00000041">
      <w:pPr>
        <w:spacing w:after="80" w:before="200" w:line="360" w:lineRule="auto"/>
        <w:rPr>
          <w:rFonts w:ascii="Times New Roman" w:cs="Times New Roman" w:eastAsia="Times New Roman" w:hAnsi="Times New Roman"/>
          <w:b w:val="1"/>
          <w:bCs w:val="1"/>
          <w:i w:val="1"/>
          <w:iCs w:val="1"/>
          <w:color w:val="1a7ab5"/>
          <w:sz w:val="24"/>
          <w:szCs w:val="24"/>
        </w:rPr>
      </w:pPr>
      <w:r w:rsidDel="00000000" w:rsidR="00000000" w:rsidRPr="00000000">
        <w:rPr>
          <w:rFonts w:ascii="Times New Roman" w:cs="Times New Roman" w:eastAsia="Times New Roman" w:hAnsi="Times New Roman"/>
          <w:b w:val="1"/>
          <w:bCs w:val="1"/>
          <w:i w:val="1"/>
          <w:iCs w:val="1"/>
          <w:color w:val="1a7ab5"/>
          <w:sz w:val="24"/>
          <w:szCs w:val="24"/>
          <w:rtl w:val="0"/>
        </w:rPr>
        <w:t xml:space="preserve">4.1. Viabilidad e implementación</w:t>
      </w:r>
    </w:p>
    <w:p w:rsidR="00000000" w:rsidDel="00000000" w:rsidP="00000000" w:rsidRDefault="00000000" w:rsidRPr="00000000" w14:paraId="00000042">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Un argumento que suele aparecer ante cualquier propuesta de innovación en el sistema judicial es el de los costos. En este caso, conviene </w:t>
      </w:r>
      <w:r w:rsidDel="00000000" w:rsidR="00000000" w:rsidRPr="00000000">
        <w:rPr>
          <w:rFonts w:ascii="Times New Roman" w:cs="Times New Roman" w:eastAsia="Times New Roman" w:hAnsi="Times New Roman"/>
          <w:color w:val="1a1a1a"/>
          <w:sz w:val="24"/>
          <w:szCs w:val="24"/>
          <w:rtl w:val="0"/>
        </w:rPr>
        <w:t xml:space="preserve">despejarlo antes</w:t>
      </w:r>
      <w:r w:rsidDel="00000000" w:rsidR="00000000" w:rsidRPr="00000000">
        <w:rPr>
          <w:rFonts w:ascii="Times New Roman" w:cs="Times New Roman" w:eastAsia="Times New Roman" w:hAnsi="Times New Roman"/>
          <w:color w:val="1a1a1a"/>
          <w:sz w:val="24"/>
          <w:szCs w:val="24"/>
          <w:rtl w:val="0"/>
        </w:rPr>
        <w:t xml:space="preserve"> de que se instale.</w:t>
      </w:r>
    </w:p>
    <w:p w:rsidR="00000000" w:rsidDel="00000000" w:rsidP="00000000" w:rsidRDefault="00000000" w:rsidRPr="00000000" w14:paraId="00000043">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El costo operativo del sistema es mínimo: el procesamiento por notificación (la traducción al lenguaje claro mediante inteligencia artificial y funciones accesorias) se estima en fracciones de centavo de dólar en el piloto de muestra,. Para un volumen de diez mil notificaciones mensuales, estimación conservadora para un solo órgano de mediana actividad, el costo mensual de procesamiento es del orden de treinta dólares. Los servicios de infraestructura operan en planes de bajo costo durante la fase piloto.</w:t>
      </w:r>
    </w:p>
    <w:p w:rsidR="00000000" w:rsidDel="00000000" w:rsidP="00000000" w:rsidRDefault="00000000" w:rsidRPr="00000000" w14:paraId="00000044">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Sin perjuicio de ello, y si el sistema escalara, recomendamos trasladar el corazón del sistema, la mediación del sistema de inteligencia artificial para su funcionamiento, a un modelo de inteligencia artificial que funcione de manera local, lo que podría facilitar la integración total con los sistemas actuales, y, fundamentalmente, la preservación de los datos sensibles de las causas y de los ciudadanos dentro de servidores propios de cada jurisdicción que lo implemente, cumpliendo estrictamente con lo dispuesto en nuestro país por la Ley de Datos Personales (ley 25.326).</w:t>
      </w:r>
    </w:p>
    <w:p w:rsidR="00000000" w:rsidDel="00000000" w:rsidP="00000000" w:rsidRDefault="00000000" w:rsidRPr="00000000" w14:paraId="00000045">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 tarea que realiza la IA en NotificAR Clara es, en términos técnicos, relativamente acotada y no requiere de un modelo de frontera para su ejecución. Recibe un texto jurídico estructurado, lo clasifica según un esquema predefinido y lo transforma en lenguaje claro siguiendo instrucciones precisas en el prompt. No requiere razonamiento complejo, conocimiento del mundo en tiempo real ni capacidades multimodales. Cualquier modelo de lenguaje con buena comprensión del español jurídico del lugar y capacidad para seguir instrucciones estructuradas puede cumplir esa función. Esto tiene una consecuencia práctica relevante para el ámbito judicial y es que el sistema podría correr sobre infraestructura propia. La inteligencia del sistema, en definitiva, no está en el modelo sino en el diseño del flujo, los prompts y la arquitectura de triage. El modelo es, en este caso, el componente más fácilmente reemplazable, y, en cualquier caso, su costo será marginal. </w:t>
      </w:r>
    </w:p>
    <w:p w:rsidR="00000000" w:rsidDel="00000000" w:rsidP="00000000" w:rsidRDefault="00000000" w:rsidRPr="00000000" w14:paraId="00000046">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Sumado a ello, el argumento económico tiene una dimensión que con frecuencia se omite en el análisis: el costo del no-actuar. Un solo proceso declarado nulo por indefensión vinculada a la incomprensión de una notificación genera costos procesales, materiales e institucionales que superan con amplitud el costo de cualquier sistema preventivo de mediación comunicacional. La barrera comunicacional no es un problema ajeno a la eficiencia del sistema, por el contrario es parte de su costo invisible.</w:t>
      </w:r>
    </w:p>
    <w:p w:rsidR="00000000" w:rsidDel="00000000" w:rsidP="00000000" w:rsidRDefault="00000000" w:rsidRPr="00000000" w14:paraId="00000047">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El prototipo funcional está operativo desde agosto de 2026 (siendo mejorado de forma permanente y continua, lo que pudo ocasionar alguna mejora o diferencia no sustancial con lo explicado en esta ponencia) y estará disponible para demostración en el marco de este Congreso. La adopción en el sistema judicial, bonaerense al menos, no requiere modificar los sistemas existentes ya que el operador judicial incorpora el “QR explicador” al documento en el momento de su emisión, con una intervención técnica simple. La integración con los sistemas de gestión judicial existentes es una mejora ulterior que </w:t>
      </w:r>
      <w:r w:rsidDel="00000000" w:rsidR="00000000" w:rsidRPr="00000000">
        <w:rPr>
          <w:rFonts w:ascii="Times New Roman" w:cs="Times New Roman" w:eastAsia="Times New Roman" w:hAnsi="Times New Roman"/>
          <w:color w:val="1a1a1a"/>
          <w:sz w:val="24"/>
          <w:szCs w:val="24"/>
          <w:rtl w:val="0"/>
        </w:rPr>
        <w:t xml:space="preserve">automatizaría</w:t>
      </w:r>
      <w:r w:rsidDel="00000000" w:rsidR="00000000" w:rsidRPr="00000000">
        <w:rPr>
          <w:rFonts w:ascii="Times New Roman" w:cs="Times New Roman" w:eastAsia="Times New Roman" w:hAnsi="Times New Roman"/>
          <w:color w:val="1a1a1a"/>
          <w:sz w:val="24"/>
          <w:szCs w:val="24"/>
          <w:rtl w:val="0"/>
        </w:rPr>
        <w:t xml:space="preserve"> y optimizaría ese proceso, pero no es condición necesaria para su funcionamiento.</w:t>
      </w:r>
    </w:p>
    <w:p w:rsidR="00000000" w:rsidDel="00000000" w:rsidP="00000000" w:rsidRDefault="00000000" w:rsidRPr="00000000" w14:paraId="00000048">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 escalabilidad del sistema hacia otros órganos, inclusive del poder ejecutivo, no exige modificaciones arquitectónicas significativas. El diseño modular permite incorporar nuevos tipos de acto procesal, nuevos perfiles de destinatario y nuevos módulos de accesibilidad sin afectar la infraestructura de base. Para el detalle de la ruta de implementación, remitimos nuevamente al manual inserto en la pagina del sistema</w:t>
      </w:r>
    </w:p>
    <w:p w:rsidR="00000000" w:rsidDel="00000000" w:rsidP="00000000" w:rsidRDefault="00000000" w:rsidRPr="00000000" w14:paraId="00000049">
      <w:pPr>
        <w:spacing w:after="80" w:before="200" w:line="360" w:lineRule="auto"/>
        <w:rPr>
          <w:rFonts w:ascii="Times New Roman" w:cs="Times New Roman" w:eastAsia="Times New Roman" w:hAnsi="Times New Roman"/>
          <w:b w:val="1"/>
          <w:bCs w:val="1"/>
          <w:i w:val="1"/>
          <w:iCs w:val="1"/>
          <w:color w:val="1a7ab5"/>
          <w:sz w:val="24"/>
          <w:szCs w:val="24"/>
        </w:rPr>
      </w:pPr>
      <w:r w:rsidDel="00000000" w:rsidR="00000000" w:rsidRPr="00000000">
        <w:rPr>
          <w:rFonts w:ascii="Times New Roman" w:cs="Times New Roman" w:eastAsia="Times New Roman" w:hAnsi="Times New Roman"/>
          <w:b w:val="1"/>
          <w:bCs w:val="1"/>
          <w:i w:val="1"/>
          <w:iCs w:val="1"/>
          <w:color w:val="1a7ab5"/>
          <w:sz w:val="24"/>
          <w:szCs w:val="24"/>
          <w:rtl w:val="0"/>
        </w:rPr>
        <w:t xml:space="preserve">4.2. Impacto esperado</w:t>
      </w:r>
    </w:p>
    <w:p w:rsidR="00000000" w:rsidDel="00000000" w:rsidP="00000000" w:rsidRDefault="00000000" w:rsidRPr="00000000" w14:paraId="0000004A">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El impacto de NotificAR Clara puede medirse en al menos tres dimensiones.</w:t>
      </w:r>
    </w:p>
    <w:p w:rsidR="00000000" w:rsidDel="00000000" w:rsidP="00000000" w:rsidRDefault="00000000" w:rsidRPr="00000000" w14:paraId="0000004B">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 términos de acceso a la justicia, se espera una reducción de las inasistencias a audiencias y declaraciones motivadas en la incomprensión de las citaciones, un mayor ejercicio oportuno del derecho de defensa técnica desde la primera notificación, y una disminución de los errores procesales derivados del desconocimiento de plazos y obligaciones. Esos efectos son en principio medibles mediante el seguimiento de indicadores ya disponibles en el sistema judicial.</w:t>
      </w:r>
    </w:p>
    <w:p w:rsidR="00000000" w:rsidDel="00000000" w:rsidP="00000000" w:rsidRDefault="00000000" w:rsidRPr="00000000" w14:paraId="0000004C">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 términos de eficiencia del sistema, se espera una reducción de las consultas telefónicas y presenciales a los órganos judiciales sobre el contenido de las notificaciones. Es tiempo que hoy se consume en responder preguntas que el documento debería haber respondido desde el inicio y que podría dedicarse a tareas de mayor valor procesal.</w:t>
      </w:r>
    </w:p>
    <w:p w:rsidR="00000000" w:rsidDel="00000000" w:rsidP="00000000" w:rsidRDefault="00000000" w:rsidRPr="00000000" w14:paraId="0000004D">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En términos de satisfacción ciudadana, el sistema incorpora una métrica directa: el porcentaje de usuarios que, tras interactuar con NotificAR Clara, reportan haber comprendido el acto procesal notificado. Esta métrica puede recogerse mediante una pregunta de cierre en la interfaz, sin identificar al usuario, y permite mejorar iterativamente los contenidos y el modo de presentación. Los datos de uso (qué tipos de notificaciones generan más preguntas, a qué botones de contacto se accede con mayor frecuencia) proveen además información valiosa para detectar qué actos procesales concentran mayor opacidad comunicacional. El sistema, en ese sentido, aprende de su propio uso y es una invitación a la mejora continua en términos de eficiencia y de servicio.</w:t>
      </w:r>
    </w:p>
    <w:p>
      <w:pPr>
        <w:jc w:val="center"/>
        <w:spacing w:before="180" w:after="0"/>
        <w:pBdr/>
      </w:pPr>
      <w:r>
        <w:rPr>
          <w:b/>
          <w:color w:val="003366"/>
          <w:sz w:val="20"/>
          <w:highlight w:val="yellow"/>
        </w:rPr>
        <w:t>[ IMAGEN 6 — Panel de estadísticas: métricas de escaneos, geografía y tokens — 9 cm de ancho, centrada ]</w:t>
      </w:r>
    </w:p>
    <w:p>
      <w:pPr>
        <w:jc w:val="center"/>
        <w:spacing w:before="40" w:after="240"/>
      </w:pPr>
      <w:r>
        <w:rPr>
          <w:i/>
          <w:sz w:val="18"/>
        </w:rPr>
        <w:t>Imagen 6. Panel de estadísticas del sistema: notificaciones procesadas, escaneos de QR por fecha y ubicación geográfica, y costo de uso de inteligencia artificial. (notificar-clara.vercel.app)</w:t>
      </w:r>
    </w:p>
    <w:p w:rsidR="00000000" w:rsidDel="00000000" w:rsidP="00000000" w:rsidRDefault="00000000" w:rsidRPr="00000000" w14:paraId="0000004E">
      <w:pPr>
        <w:spacing w:after="80" w:before="200" w:line="360" w:lineRule="auto"/>
        <w:rPr>
          <w:rFonts w:ascii="Times New Roman" w:cs="Times New Roman" w:eastAsia="Times New Roman" w:hAnsi="Times New Roman"/>
          <w:b w:val="1"/>
          <w:bCs w:val="1"/>
          <w:i w:val="1"/>
          <w:iCs w:val="1"/>
          <w:color w:val="1a7ab5"/>
          <w:sz w:val="24"/>
          <w:szCs w:val="24"/>
        </w:rPr>
      </w:pPr>
      <w:r w:rsidDel="00000000" w:rsidR="00000000" w:rsidRPr="00000000">
        <w:rPr>
          <w:rFonts w:ascii="Times New Roman" w:cs="Times New Roman" w:eastAsia="Times New Roman" w:hAnsi="Times New Roman"/>
          <w:b w:val="1"/>
          <w:bCs w:val="1"/>
          <w:i w:val="1"/>
          <w:iCs w:val="1"/>
          <w:color w:val="1a7ab5"/>
          <w:sz w:val="24"/>
          <w:szCs w:val="24"/>
          <w:rtl w:val="0"/>
        </w:rPr>
        <w:t xml:space="preserve">4.3. Conclusiones</w:t>
      </w:r>
    </w:p>
    <w:p w:rsidR="00000000" w:rsidDel="00000000" w:rsidP="00000000" w:rsidRDefault="00000000" w:rsidRPr="00000000" w14:paraId="0000004F">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Presentamos este trabajo con la convicción de que el obstáculo para mejorar la comprensión de las notificaciones judiciales no es tecnológico y tampoco es económico. Es la inercia de un sistema que ha privilegiado históricamente la precisión técnica de sus documentos por sobre la comprensión de quienes los reciben. Esa inercia tiene costos concretos en derechos no ejercidos, procesos mal tramitados, privaciones de libertad evitables, y, en definitiva, ciudadanos que salen del sistema sin haber comprendido qué les pasó ni por qué.</w:t>
      </w:r>
    </w:p>
    <w:p w:rsidR="00000000" w:rsidDel="00000000" w:rsidP="00000000" w:rsidRDefault="00000000" w:rsidRPr="00000000" w14:paraId="00000050">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NotificAR</w:t>
      </w:r>
      <w:r w:rsidDel="00000000" w:rsidR="00000000" w:rsidRPr="00000000">
        <w:rPr>
          <w:rFonts w:ascii="Times New Roman" w:cs="Times New Roman" w:eastAsia="Times New Roman" w:hAnsi="Times New Roman"/>
          <w:color w:val="1a1a1a"/>
          <w:sz w:val="24"/>
          <w:szCs w:val="24"/>
          <w:rtl w:val="0"/>
        </w:rPr>
        <w:t xml:space="preserve"> Clara no propone eliminar el lenguaje técnico-jurídico de las notificaciones. Ese lenguaje tiene funciones precisas: asegura la validez del acto, delimita con exactitud los efectos procesales, permite el control por los operadores del sistema. Propone, en cambio, que ese lenguaje técnico no sea lo único que la persona recibe. Que el mismo documento que exige rigor técnico hacia el sistema pueda, al mismo tiempo, explicarse en términos comprensibles hacia quien más lo necesita.</w:t>
      </w:r>
    </w:p>
    <w:p w:rsidR="00000000" w:rsidDel="00000000" w:rsidP="00000000" w:rsidRDefault="00000000" w:rsidRPr="00000000" w14:paraId="00000051">
      <w:pPr>
        <w:spacing w:after="16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Las guías de buenas prácticas aprobadas por la Suprema Corte de Justicia de la Provincia de Buenos Aires, en materia de lenguaje claro, discapacidad, personas mayores, NNA y género, proveen el marco normativo y conceptual que justifica cada decisión de diseño del sistema. No las invocamos como argumento de autoridad sino como evidencia de que el camino ya está trazado desde la propia institucionalidad judicial. Lo que NotificAR Clara ofrece es un paso concreto, replicable y evaluable en esa dirección.</w:t>
      </w:r>
    </w:p>
    <w:p w:rsidR="00000000" w:rsidDel="00000000" w:rsidP="00000000" w:rsidRDefault="00000000" w:rsidRPr="00000000" w14:paraId="00000052">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Lo que queda por resolver no está en la tecnología ni en el presupuesto: está en la decisión de priorizar la comprensión del ciudadano como un objetivo del sistema, y no como un problema de cada persona que recibe una cédula y no sabe qué hacer con ella. Invitamos a la comunidad académica, a los operadores judiciales y a quienes tienen la responsabilidad de tomar decisiones institucionales a sumarse a esta experiencia, a ponerla a prueba y a mejorarla. No porque sea la respuesta definitiva, sino porque es una respuesta posible, disponible ya, a un problema que el sistema conoce desde hace tiempo.</w:t>
      </w:r>
    </w:p>
    <w:p w:rsidR="00000000" w:rsidDel="00000000" w:rsidP="00000000" w:rsidRDefault="00000000" w:rsidRPr="00000000" w14:paraId="00000053">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br w:type="textWrapping"/>
        <w:br w:type="textWrapping"/>
      </w:r>
    </w:p>
    <w:p w:rsidR="00000000" w:rsidDel="00000000" w:rsidP="00000000" w:rsidRDefault="00000000" w:rsidRPr="00000000" w14:paraId="00000054">
      <w:pPr>
        <w:spacing w:after="80" w:before="240" w:line="360" w:lineRule="auto"/>
        <w:jc w:val="both"/>
        <w:rPr>
          <w:rFonts w:ascii="Times New Roman" w:cs="Times New Roman" w:eastAsia="Times New Roman" w:hAnsi="Times New Roman"/>
          <w:b w:val="1"/>
          <w:bCs w:val="1"/>
          <w:color w:val="003366"/>
          <w:sz w:val="24"/>
          <w:szCs w:val="24"/>
        </w:rPr>
      </w:pPr>
      <w:r w:rsidDel="00000000" w:rsidR="00000000" w:rsidRPr="00000000">
        <w:rPr>
          <w:rFonts w:ascii="Times New Roman" w:cs="Times New Roman" w:eastAsia="Times New Roman" w:hAnsi="Times New Roman"/>
          <w:b w:val="1"/>
          <w:bCs w:val="1"/>
          <w:color w:val="003366"/>
          <w:sz w:val="24"/>
          <w:szCs w:val="24"/>
          <w:rtl w:val="0"/>
        </w:rPr>
        <w:t xml:space="preserve">Notas destacadas:</w:t>
      </w:r>
    </w:p>
    <w:p w:rsidR="00000000" w:rsidDel="00000000" w:rsidP="00000000" w:rsidRDefault="00000000" w:rsidRPr="00000000" w14:paraId="00000055">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 El sistema puede probarse hasta el límite de tokens disponibles en: notificar-clara.vercel.app . En caso de agotarse los tokens disponibles y ser necesario su uso de prueba, por favor comunicarse con los expositores a las direcciones brindadas.</w:t>
      </w:r>
    </w:p>
    <w:p w:rsidR="00000000" w:rsidDel="00000000" w:rsidP="00000000" w:rsidRDefault="00000000" w:rsidRPr="00000000" w14:paraId="00000056">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 El piloto usa una API de IA comercial (Haiku 4.5 de Anthropic), por lo que se solicita enfáticamente que los modelos usados para experimentar se encuentren debidamente anonimizados. Será responsabilidad de cada usuario la falta a la custodia de los datos sensibles que comparta con el piloto de la aplicación.</w:t>
      </w:r>
    </w:p>
    <w:p w:rsidR="00000000" w:rsidDel="00000000" w:rsidP="00000000" w:rsidRDefault="00000000" w:rsidRPr="00000000" w14:paraId="00000057">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 El manual de uso y las notas técnicas pueden consultarse a traves del botón “manual” de la pagina del sistema, señalada en el punto 1).</w:t>
      </w:r>
    </w:p>
    <w:p w:rsidR="00000000" w:rsidDel="00000000" w:rsidP="00000000" w:rsidRDefault="00000000" w:rsidRPr="00000000" w14:paraId="00000058">
      <w:pPr>
        <w:spacing w:after="80" w:before="240" w:line="360" w:lineRule="auto"/>
        <w:jc w:val="both"/>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br w:type="textWrapping"/>
        <w:br w:type="textWrapping"/>
      </w:r>
    </w:p>
    <w:p w:rsidR="00000000" w:rsidDel="00000000" w:rsidP="00000000" w:rsidRDefault="00000000" w:rsidRPr="00000000" w14:paraId="00000059">
      <w:pPr>
        <w:spacing w:after="200" w:before="240" w:line="36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br w:type="textWrapping"/>
        <w:br w:type="textWrapping"/>
      </w:r>
    </w:p>
    <w:p w:rsidR="00000000" w:rsidDel="00000000" w:rsidP="00000000" w:rsidRDefault="00000000" w:rsidRPr="00000000" w14:paraId="0000005A">
      <w:pPr>
        <w:pBdr>
          <w:top w:color="auto" w:space="0" w:sz="0" w:val="none"/>
          <w:left w:color="auto" w:space="0" w:sz="0" w:val="none"/>
          <w:bottom w:color="1a7ab5" w:space="0" w:sz="5" w:val="single"/>
          <w:right w:color="auto" w:space="0" w:sz="0" w:val="none"/>
        </w:pBdr>
        <w:spacing w:after="120" w:before="280" w:line="360" w:lineRule="auto"/>
        <w:rPr>
          <w:rFonts w:ascii="Times New Roman" w:cs="Times New Roman" w:eastAsia="Times New Roman" w:hAnsi="Times New Roman"/>
          <w:b w:val="1"/>
          <w:bCs w:val="1"/>
          <w:color w:val="003366"/>
          <w:sz w:val="24"/>
          <w:szCs w:val="24"/>
        </w:rPr>
      </w:pPr>
      <w:r w:rsidDel="00000000" w:rsidR="00000000" w:rsidRPr="00000000">
        <w:rPr>
          <w:rFonts w:ascii="Times New Roman" w:cs="Times New Roman" w:eastAsia="Times New Roman" w:hAnsi="Times New Roman"/>
          <w:b w:val="1"/>
          <w:bCs w:val="1"/>
          <w:color w:val="003366"/>
          <w:sz w:val="24"/>
          <w:szCs w:val="24"/>
          <w:rtl w:val="0"/>
        </w:rPr>
        <w:t xml:space="preserve">. Referencias Bibliográficas</w:t>
      </w:r>
    </w:p>
    <w:p w:rsidR="00000000" w:rsidDel="00000000" w:rsidP="00000000" w:rsidRDefault="00000000" w:rsidRPr="00000000" w14:paraId="0000005B">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Suprema Corte de Justicia de la Provincia de Buenos Aires (2026). Guía de Buenas</w:t>
      </w:r>
    </w:p>
    <w:p w:rsidR="00000000" w:rsidDel="00000000" w:rsidP="00000000" w:rsidRDefault="00000000" w:rsidRPr="00000000" w14:paraId="0000005C">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Prácticas para el Empleo de un Lenguaje Claro y Accesible. Resolución SC 1131/26.</w:t>
      </w:r>
    </w:p>
    <w:p w:rsidR="00000000" w:rsidDel="00000000" w:rsidP="00000000" w:rsidRDefault="00000000" w:rsidRPr="00000000" w14:paraId="0000005D">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Suprema Corte de Justicia de la Provincia de Buenos Aires (2025). Guía de Buenas</w:t>
      </w:r>
    </w:p>
    <w:p w:rsidR="00000000" w:rsidDel="00000000" w:rsidP="00000000" w:rsidRDefault="00000000" w:rsidRPr="00000000" w14:paraId="0000005E">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Prácticas para el Acceso a la Justicia de las Personas con Discapacidad.</w:t>
      </w:r>
    </w:p>
    <w:p w:rsidR="00000000" w:rsidDel="00000000" w:rsidP="00000000" w:rsidRDefault="00000000" w:rsidRPr="00000000" w14:paraId="0000005F">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Suprema Corte de Justicia de la Provincia de Buenos Aires (2025). Guía de Buenas</w:t>
      </w:r>
    </w:p>
    <w:p w:rsidR="00000000" w:rsidDel="00000000" w:rsidP="00000000" w:rsidRDefault="00000000" w:rsidRPr="00000000" w14:paraId="00000060">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Prácticas para el Acceso a la Justicia de las Personas Mayores.</w:t>
      </w:r>
    </w:p>
    <w:p w:rsidR="00000000" w:rsidDel="00000000" w:rsidP="00000000" w:rsidRDefault="00000000" w:rsidRPr="00000000" w14:paraId="00000061">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Suprema Corte de Justicia de la Provincia de Buenos Aires (2025). Guía para Escuchar a Niños, Niñas y Adolescentes en el Proceso Judicial.</w:t>
      </w:r>
    </w:p>
    <w:p w:rsidR="00000000" w:rsidDel="00000000" w:rsidP="00000000" w:rsidRDefault="00000000" w:rsidRPr="00000000" w14:paraId="00000062">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ONU (2006). Convención sobre los Derechos de las Personas con Discapacidad.</w:t>
      </w:r>
    </w:p>
    <w:p w:rsidR="00000000" w:rsidDel="00000000" w:rsidP="00000000" w:rsidRDefault="00000000" w:rsidRPr="00000000" w14:paraId="00000063">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A/RES/61/106.</w:t>
      </w:r>
    </w:p>
    <w:p w:rsidR="00000000" w:rsidDel="00000000" w:rsidP="00000000" w:rsidRDefault="00000000" w:rsidRPr="00000000" w14:paraId="00000064">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OEA (2015). Convención Interamericana sobre la Protección de los Derechos Humanos de las Personas Mayores. A-70.</w:t>
      </w:r>
    </w:p>
    <w:p w:rsidR="00000000" w:rsidDel="00000000" w:rsidP="00000000" w:rsidRDefault="00000000" w:rsidRPr="00000000" w14:paraId="00000065">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OEA (1969). Convención Americana sobre Derechos Humanos. </w:t>
      </w:r>
      <w:r w:rsidDel="00000000" w:rsidR="00000000" w:rsidRPr="00000000">
        <w:rPr>
          <w:rFonts w:ascii="Times New Roman" w:cs="Times New Roman" w:eastAsia="Times New Roman" w:hAnsi="Times New Roman"/>
          <w:color w:val="444444"/>
          <w:sz w:val="24"/>
          <w:szCs w:val="24"/>
          <w:rtl w:val="0"/>
        </w:rPr>
        <w:t xml:space="preserve">OASTS</w:t>
      </w:r>
      <w:r w:rsidDel="00000000" w:rsidR="00000000" w:rsidRPr="00000000">
        <w:rPr>
          <w:rFonts w:ascii="Times New Roman" w:cs="Times New Roman" w:eastAsia="Times New Roman" w:hAnsi="Times New Roman"/>
          <w:color w:val="444444"/>
          <w:sz w:val="24"/>
          <w:szCs w:val="24"/>
          <w:rtl w:val="0"/>
        </w:rPr>
        <w:t xml:space="preserve"> 36.</w:t>
      </w:r>
    </w:p>
    <w:p w:rsidR="00000000" w:rsidDel="00000000" w:rsidP="00000000" w:rsidRDefault="00000000" w:rsidRPr="00000000" w14:paraId="00000066">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XIV Cumbre Judicial Iberoamericana (2008, rev. 2018). Reglas de Brasilia sobre el</w:t>
      </w:r>
    </w:p>
    <w:p w:rsidR="00000000" w:rsidDel="00000000" w:rsidP="00000000" w:rsidRDefault="00000000" w:rsidRPr="00000000" w14:paraId="00000067">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Acceso a la Justicia de las Personas en Condición de Vulnerabilidad.</w:t>
      </w:r>
    </w:p>
    <w:p w:rsidR="00000000" w:rsidDel="00000000" w:rsidP="00000000" w:rsidRDefault="00000000" w:rsidRPr="00000000" w14:paraId="00000068">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Corte Interamericana de Derechos Humanos (2021). Caso Guachalá Chimbó y otros vs. Ecuador.</w:t>
      </w:r>
    </w:p>
    <w:p w:rsidR="00000000" w:rsidDel="00000000" w:rsidP="00000000" w:rsidRDefault="00000000" w:rsidRPr="00000000" w14:paraId="00000069">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Corte Interamericana de Derechos Humanos (2016). Caso Chinchilla Sandoval vs. Guatemala.</w:t>
      </w:r>
    </w:p>
    <w:p w:rsidR="00000000" w:rsidDel="00000000" w:rsidP="00000000" w:rsidRDefault="00000000" w:rsidRPr="00000000" w14:paraId="0000006A">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ENACOM (2025). Informe de conectividad. Segundo trimestre de 2025.</w:t>
      </w:r>
    </w:p>
    <w:p w:rsidR="00000000" w:rsidDel="00000000" w:rsidP="00000000" w:rsidRDefault="00000000" w:rsidRPr="00000000" w14:paraId="0000006B">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Ley 15184 (2020). Obligatoriedad del Lenguaje Claro. Provincia de Buenos Aires</w:t>
      </w:r>
    </w:p>
    <w:p w:rsidR="00000000" w:rsidDel="00000000" w:rsidP="00000000" w:rsidRDefault="00000000" w:rsidRPr="00000000" w14:paraId="0000006C">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Ley 25.386. Ley de Protección de datos personales</w:t>
      </w:r>
    </w:p>
    <w:p w:rsidR="00000000" w:rsidDel="00000000" w:rsidP="00000000" w:rsidRDefault="00000000" w:rsidRPr="00000000" w14:paraId="0000006D">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Ley 26.061 (2005). Protección Integral de los Derechos de las Niñas, Niños y</w:t>
      </w:r>
    </w:p>
    <w:p w:rsidR="00000000" w:rsidDel="00000000" w:rsidP="00000000" w:rsidRDefault="00000000" w:rsidRPr="00000000" w14:paraId="0000006E">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Adolescentes. Argentina.</w:t>
      </w:r>
    </w:p>
    <w:p w:rsidR="00000000" w:rsidDel="00000000" w:rsidP="00000000" w:rsidRDefault="00000000" w:rsidRPr="00000000" w14:paraId="0000006F">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Ley 27.044 (2014). Jerarquía constitucional a la Convención sobre los Derechos de las Personas con Discapacidad. Argentina.</w:t>
      </w:r>
    </w:p>
    <w:p w:rsidR="00000000" w:rsidDel="00000000" w:rsidP="00000000" w:rsidRDefault="00000000" w:rsidRPr="00000000" w14:paraId="00000070">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t xml:space="preserve">Código Procesal Penal de la Provincia de Buenos Aires. Ley 11.922 y modificatorias.</w:t>
      </w:r>
    </w:p>
    <w:p w:rsidR="00000000" w:rsidDel="00000000" w:rsidP="00000000" w:rsidRDefault="00000000" w:rsidRPr="00000000" w14:paraId="00000071">
      <w:pPr>
        <w:spacing w:after="80" w:before="240" w:line="360" w:lineRule="auto"/>
        <w:ind w:left="440" w:hanging="20"/>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tl w:val="0"/>
        </w:rPr>
        <w:br w:type="textWrapping"/>
        <w:br w:type="textWrapping"/>
      </w:r>
    </w:p>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