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0.1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0.2 Datasets</w:t>
      </w:r>
    </w:p>
    <w:bookmarkStart w:id="30" w:name="dataset-1"/>
    <w:p>
      <w:pPr>
        <w:pStyle w:val="Heading3"/>
      </w:pPr>
      <w:r>
        <w:t xml:space="preserve">0.2.1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0.2.2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0.3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0.3.1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0.3.2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0.3.3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stretching intervention program lead to increased flexibility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0.3.4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0.3.5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odyText"/>
      </w:pPr>
      <w:r>
        <w:t xml:space="preserve">Is there a significant difference in scores across time (pre, mid, posttest)?</w:t>
      </w:r>
    </w:p>
    <w:p>
      <w:pPr>
        <w:pStyle w:val="BodyText"/>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0.3.6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bookmarkStart w:id="44" w:name="sec-appendix-a"/>
    <w:p>
      <w:pPr>
        <w:pStyle w:val="Heading1"/>
      </w:pPr>
      <w:r>
        <w:t xml:space="preserve">1. Appendix A</w:t>
      </w:r>
    </w:p>
    <w:tbl>
      <w:tblPr>
        <w:tblStyle w:val="Table"/>
        <w:tblW w:type="pct" w:w="5000"/>
        <w:tblLook w:firstRow="1" w:lastRow="0" w:firstColumn="0" w:lastColumn="0" w:noHBand="0" w:noVBand="0" w:val="0020"/>
        <w:jc w:val="start"/>
      </w:tblPr>
      <w:tblGrid>
        <w:gridCol w:w="4180"/>
        <w:gridCol w:w="3740"/>
      </w:tblGrid>
      <w:tr>
        <w:trPr>
          <w:tblHeader w:val="true"/>
        </w:trPr>
        <w:tc>
          <w:tcPr/>
          <w:p>
            <w:pPr>
              <w:pStyle w:val="Compact"/>
              <w:jc w:val="left"/>
            </w:pPr>
            <w:r>
              <w:t xml:space="preserve">Parametric tests</w:t>
            </w:r>
          </w:p>
        </w:tc>
        <w:tc>
          <w:tcPr/>
          <w:p>
            <w:pPr>
              <w:pStyle w:val="Compact"/>
              <w:jc w:val="left"/>
            </w:pPr>
            <w:r>
              <w:t xml:space="preserve">Nonparametric equivalents</w:t>
            </w:r>
          </w:p>
        </w:tc>
      </w:tr>
      <w:tr>
        <w:tc>
          <w:tcPr/>
          <w:p>
            <w:pPr>
              <w:pStyle w:val="Compact"/>
              <w:jc w:val="left"/>
            </w:pPr>
            <w:r>
              <w:t xml:space="preserve">1. One sample t-test</w:t>
            </w:r>
          </w:p>
        </w:tc>
        <w:tc>
          <w:tcPr/>
          <w:p>
            <w:pPr>
              <w:pStyle w:val="Compact"/>
              <w:jc w:val="left"/>
            </w:pPr>
            <w:r>
              <w:t xml:space="preserve">1. Wilcoxon signed-rank test</w:t>
            </w:r>
          </w:p>
        </w:tc>
      </w:tr>
      <w:tr>
        <w:tc>
          <w:tcPr/>
          <w:p>
            <w:pPr>
              <w:pStyle w:val="Compact"/>
              <w:jc w:val="left"/>
            </w:pPr>
            <w:r>
              <w:t xml:space="preserve">2. Independent samples t-test</w:t>
            </w:r>
          </w:p>
        </w:tc>
        <w:tc>
          <w:tcPr/>
          <w:p>
            <w:pPr>
              <w:pStyle w:val="Compact"/>
              <w:jc w:val="left"/>
            </w:pPr>
            <w:r>
              <w:t xml:space="preserve">2. Mann-Whitney U test</w:t>
            </w:r>
          </w:p>
        </w:tc>
      </w:tr>
      <w:tr>
        <w:tc>
          <w:tcPr/>
          <w:p>
            <w:pPr>
              <w:pStyle w:val="Compact"/>
              <w:jc w:val="left"/>
            </w:pPr>
            <w:r>
              <w:t xml:space="preserve">3. Paired samples t-test</w:t>
            </w:r>
          </w:p>
        </w:tc>
        <w:tc>
          <w:tcPr/>
          <w:p>
            <w:pPr>
              <w:pStyle w:val="Compact"/>
              <w:jc w:val="left"/>
            </w:pPr>
            <w:r>
              <w:t xml:space="preserve">3. Wilcoxon signed-rank test</w:t>
            </w:r>
          </w:p>
        </w:tc>
      </w:tr>
      <w:tr>
        <w:tc>
          <w:tcPr/>
          <w:p>
            <w:pPr>
              <w:pStyle w:val="Compact"/>
              <w:jc w:val="left"/>
            </w:pPr>
            <w:r>
              <w:t xml:space="preserve">4. One-way ANOVA</w:t>
            </w:r>
          </w:p>
        </w:tc>
        <w:tc>
          <w:tcPr/>
          <w:p>
            <w:pPr>
              <w:pStyle w:val="Compact"/>
              <w:jc w:val="left"/>
            </w:pPr>
            <w:r>
              <w:t xml:space="preserve">4. Kruskal-Wallis test</w:t>
            </w:r>
          </w:p>
        </w:tc>
      </w:tr>
      <w:tr>
        <w:tc>
          <w:tcPr/>
          <w:p>
            <w:pPr>
              <w:pStyle w:val="Compact"/>
              <w:jc w:val="left"/>
            </w:pPr>
            <w:r>
              <w:t xml:space="preserve">5. Repeated measures ANOVA</w:t>
            </w:r>
          </w:p>
        </w:tc>
        <w:tc>
          <w:tcPr/>
          <w:p>
            <w:pPr>
              <w:pStyle w:val="Compact"/>
              <w:jc w:val="left"/>
            </w:pPr>
            <w:r>
              <w:t xml:space="preserve">5. Friedman test</w:t>
            </w:r>
          </w:p>
        </w:tc>
      </w:tr>
      <w:tr>
        <w:tc>
          <w:tcPr/>
          <w:p>
            <w:pPr>
              <w:pStyle w:val="Compact"/>
              <w:jc w:val="left"/>
            </w:pPr>
            <w:r>
              <w:t xml:space="preserve">6. Between-subjects factorial ANOVA</w:t>
            </w:r>
          </w:p>
        </w:tc>
        <w:tc>
          <w:tcPr/>
          <w:p>
            <w:pPr>
              <w:pStyle w:val="Compact"/>
              <w:jc w:val="left"/>
            </w:pPr>
            <w:r>
              <w:t xml:space="preserve">6. Aligned Rank Transform (ART)</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2023-05-18T22:59:09Z</dcterms:created>
  <dcterms:modified xsi:type="dcterms:W3CDTF">2023-05-18T22:59:09Z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