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w:t>
      </w:r>
      <w:r>
        <w:t xml:space="preserve">, Blanca Zutana</w:t>
      </w:r>
      <w:r>
        <w:rPr>
          <w:vertAlign w:val="superscript"/>
        </w:rPr>
        <w:t xml:space="preserve">1</w:t>
      </w:r>
      <w:r>
        <w:t xml:space="preserve">, Carina Mengana</w:t>
      </w:r>
      <w:r>
        <w:rPr>
          <w:vertAlign w:val="superscript"/>
        </w:rPr>
        <w:t xml:space="preserve">2,3</w:t>
      </w:r>
      <w:r>
        <w:t xml:space="preserve">, and Dolorita Perengana</w:t>
      </w:r>
      <w:r>
        <w:rPr>
          <w:vertAlign w:val="superscript"/>
        </w:rPr>
        <w:t xml:space="preserve">4</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p>
    <w:bookmarkEnd w:id="20"/>
    <w:bookmarkStart w:id="28"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Author roles were classified using the Contributor Role Taxonomy (CRediT; https://credit.niso.org/) as follows:</w:t>
      </w:r>
      <w:r>
        <w:t xml:space="preserve"> </w:t>
      </w:r>
      <w:r>
        <w:rPr>
          <w:iCs/>
          <w:i/>
        </w:rPr>
        <w:t xml:space="preserve">Ana Fulana</w:t>
      </w:r>
      <w:r>
        <w:t xml:space="preserve">: Conceptualization and Writing - original draft;</w:t>
      </w:r>
      <w:r>
        <w:t xml:space="preserve"> </w:t>
      </w:r>
      <w:r>
        <w:rPr>
          <w:iCs/>
          <w:i/>
        </w:rPr>
        <w:t xml:space="preserve">Blanca Zutana</w:t>
      </w:r>
      <w:r>
        <w:t xml:space="preserve">: Project administration;</w:t>
      </w:r>
      <w:r>
        <w:t xml:space="preserve"> </w:t>
      </w:r>
      <w:r>
        <w:rPr>
          <w:iCs/>
          <w:i/>
        </w:rPr>
        <w:t xml:space="preserve">Carina Mengana</w:t>
      </w:r>
      <w:r>
        <w:t xml:space="preserve">: Formal Analysis;</w:t>
      </w:r>
      <w:r>
        <w:t xml:space="preserve"> </w:t>
      </w:r>
      <w:r>
        <w:rPr>
          <w:iCs/>
          <w:i/>
        </w:rPr>
        <w:t xml:space="preserve">Dolorita Perengana</w:t>
      </w:r>
      <w:r>
        <w:t xml:space="preserve">: Writing - review &amp; editing, Methodology, and Formal Analysis</w:t>
      </w:r>
    </w:p>
    <w:p>
      <w:pPr>
        <w:pStyle w:val="AuthorNote"/>
      </w:pPr>
      <w:r>
        <w:t xml:space="preserve">Correspondence concerning this article should be addressed to Ana Fulana, Department of Psychology, Ana and Blanca’s University, 1234 Capital St., Albany, NY 12084-1234, Email: sm@example.org</w:t>
      </w:r>
    </w:p>
    <w:bookmarkEnd w:id="28"/>
    <w:p>
      <w:r>
        <w:br w:type="page"/>
      </w:r>
    </w:p>
    <w:bookmarkStart w:id="29"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29"/>
    <w:p>
      <w:r>
        <w:br w:type="page"/>
      </w:r>
    </w:p>
    <w:bookmarkStart w:id="30" w:name="Xa1e8e08493ea96398163bbe62fbe000802abf43"/>
    <w:p>
      <w:pPr>
        <w:pStyle w:val="Heading1"/>
      </w:pPr>
      <w:r>
        <w:t xml:space="preserve">Using Quarto to Generate MS Word Documents in APA Style (7th Edition)</w:t>
      </w:r>
    </w:p>
    <w:p>
      <w:pPr>
        <w:pStyle w:val="FirstParagraph"/>
      </w:pPr>
      <w:r>
        <w:t xml:space="preserve">Fundamental movement skills (e.g., running, jumping, throwing) are considered the foundation the development of further skills required in physical activity throughout childhood and adolescence (Gallahue, 1982). During infancy, motor skill development allows children to explore their environmental context (Haywood &amp; Getchell, 2014), and although children may reach a rudimentary level of fundamental movement skills (FMS), it is a common misconception that proficiency of FMS will be achieved solely through maturation. Children must be taught how to optimize their movement patterns in order to attain proficiency (Clark, 2007), especially during elementary years of education, where concepts and mastery of fundamental movements are easier to attain than at any other stage of development (Colvin, Markos, &amp; Walker, 2000).</w:t>
      </w:r>
    </w:p>
    <w:p>
      <w:pPr>
        <w:pStyle w:val="BodyText"/>
      </w:pPr>
      <w:r>
        <w:t xml:space="preserve">In addition, early mastery of FMS can lead to greater engagement in physical activity during adolescence and adulthood (Barnett, van Beurden, Morgan, Brooks, &amp; Beard, 2009; Kuh &amp; Cooper, 1992; Okely, Booth, &amp; Patterson, 2001). Furthermore, children with lower FMS competence have been found to be less likely to engage in physical activity (Stodden et al., 2008) and have also been associated with childhood obesity (Cliff et al., 2012). Therefore, it is important to assess the development of FMS in children, whereas assessment tools can provide practitioners with an insight on motor skill proficiency, and may also provide insight on whether a child will develop towards an active or sedentary lifestyle (Stodden et al., 2008). Motor skill assessment tools are essential in the evaluation of motor skill development. Although many assessment tools have been developed, they are often designed for professionals in the field, such as kinesiologists, psychologists, and physical therapists, who often deal with gross and fine motor skills. Often, assessment tools are based on a component (specific body part configurations) or composite (total body configuration) method (insert citation). Alternative methods attempting to simplify the process of FMS assessment often use the three-stage model (restricting classification to three stages; e.g.,</w:t>
      </w:r>
      <w:r>
        <w:t xml:space="preserve"> </w:t>
      </w:r>
      <w:r>
        <w:t xml:space="preserve">“</w:t>
      </w:r>
      <w:r>
        <w:t xml:space="preserve">beginner</w:t>
      </w:r>
      <w:r>
        <w:t xml:space="preserve">”</w:t>
      </w:r>
      <w:r>
        <w:t xml:space="preserve">,</w:t>
      </w:r>
      <w:r>
        <w:t xml:space="preserve"> </w:t>
      </w:r>
      <w:r>
        <w:t xml:space="preserve">“</w:t>
      </w:r>
      <w:r>
        <w:t xml:space="preserve">intermediate</w:t>
      </w:r>
      <w:r>
        <w:t xml:space="preserve">”</w:t>
      </w:r>
      <w:r>
        <w:t xml:space="preserve">,</w:t>
      </w:r>
      <w:r>
        <w:t xml:space="preserve"> </w:t>
      </w:r>
      <w:r>
        <w:t xml:space="preserve">“</w:t>
      </w:r>
      <w:r>
        <w:t xml:space="preserve">advanced</w:t>
      </w:r>
      <w:r>
        <w:t xml:space="preserve">”</w:t>
      </w:r>
      <w:r>
        <w:t xml:space="preserve">; Gallahue &amp; Donnelly, 2003) and other methods include a decision tree based on specific performance criteria (Haywood &amp; Getchell, 2014), where observers can assess FMS based on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checkpoints (referred to as the observational plan approach- OPA). In addition, there are generally two types of motor skill assessments. Product oriented assessments relates to quantitative measures (measurements of time, distance, successful attempts). An example of an assessment battery using product-oriented assessment includes the Movement Assessment Battery for Children, which measures manual dexterity, aiming and catching, and balance (Wuang, Su, &amp; Su, 2012). On the other hand, process oriented assessments focus more on the quality of the skill performed (Burton &amp; Miller, 1998) . Examples of assessment tools using a process-oriented approach include the Test of Gross Motor Development (Ulrich, 2000) and the Motor Skills Inventory, which classifies FMS into three levels: rudimentary, functional, and mature (Werder &amp; Bruininks, 1998). Although assessment tools might be validated and reliable, they reveal little about the development of a child, instead, these tests can reveal information about a child at a specific time in terms of criterion measures. The TGMD—2 compares student’s scores to a national norm for the student’s age and gender (norm-referenced test), whereas the Motor Skill Inventory compares student’s scores to a specific domain of behavior or a standard of performance (criterion-reference assessment). The two proposed rating scales developed for vertical jump and gallop do not focus on individual comparison, but rather, performance over time.</w:t>
      </w:r>
    </w:p>
    <w:bookmarkEnd w:id="30"/>
    <w:bookmarkStart w:id="34" w:name="results"/>
    <w:p>
      <w:pPr>
        <w:pStyle w:val="Heading1"/>
      </w:pPr>
      <w:r>
        <w:t xml:space="preserve">Results</w:t>
      </w:r>
    </w:p>
    <w:p>
      <w:pPr>
        <w:pStyle w:val="FirstParagraph"/>
      </w:pPr>
      <w:r>
        <w:t xml:space="preserve">First, we present the degree of agreement between the expert and participant ratings. Then, inter-rater rater reliability will be presented, followed by intra-rater reliability data.</w:t>
      </w:r>
    </w:p>
    <w:bookmarkStart w:id="31" w:name="tbl-table1"/>
    <w:p>
      <w:pPr>
        <w:pStyle w:val="TableCaption"/>
      </w:pPr>
      <w:r>
        <w:t xml:space="preserve">Table 1: Weighted Kappa and ICC statistics for the expert-rater agreement</w:t>
      </w:r>
    </w:p>
    <w:tbl>
      <w:tblPr>
        <w:tblStyle w:val="Table"/>
        <w:tblW w:type="auto" w:w="0"/>
        <w:tblLook w:firstRow="1" w:lastRow="0" w:firstColumn="0" w:lastColumn="0" w:noHBand="0" w:noVBand="0" w:val="0020"/>
        <w:jc w:val="start"/>
        <w:tblCaption w:val="Table 1: Weighted Kappa and ICC statistics for the expert-rater agreement"/>
      </w:tblPr>
      <w:tblGrid>
        <w:gridCol w:w="2640"/>
        <w:gridCol w:w="2640"/>
        <w:gridCol w:w="2640"/>
      </w:tblGrid>
      <w:tr>
        <w:trPr>
          <w:tblHeader w:val="true"/>
        </w:trPr>
        <w:tc>
          <w:tcPr/>
          <w:p>
            <w:pPr>
              <w:pStyle w:val="Compact"/>
            </w:pPr>
          </w:p>
        </w:tc>
        <w:tc>
          <w:tcPr/>
          <w:p>
            <w:pPr>
              <w:pStyle w:val="Compact"/>
              <w:jc w:val="center"/>
            </w:pPr>
            <w:r>
              <w:t xml:space="preserve">Kw</w:t>
            </w:r>
          </w:p>
        </w:tc>
        <w:tc>
          <w:tcPr/>
          <w:p>
            <w:pPr>
              <w:pStyle w:val="Compact"/>
              <w:jc w:val="center"/>
            </w:pPr>
            <w:r>
              <w:t xml:space="preserve">ICC</w:t>
            </w:r>
          </w:p>
        </w:tc>
      </w:tr>
      <w:tr>
        <w:tc>
          <w:tcPr/>
          <w:p>
            <w:pPr>
              <w:pStyle w:val="Compact"/>
              <w:jc w:val="left"/>
            </w:pPr>
            <w:r>
              <w:t xml:space="preserve">Vertical Jump</w:t>
            </w:r>
          </w:p>
        </w:tc>
        <w:tc>
          <w:tcPr/>
          <w:p>
            <w:pPr>
              <w:pStyle w:val="Compact"/>
              <w:jc w:val="center"/>
            </w:pPr>
            <w:r>
              <w:t xml:space="preserve">.96(.939, .978)</w:t>
            </w:r>
          </w:p>
        </w:tc>
        <w:tc>
          <w:tcPr/>
          <w:p>
            <w:pPr>
              <w:pStyle w:val="Compact"/>
              <w:jc w:val="center"/>
            </w:pPr>
            <w:r>
              <w:t xml:space="preserve">.98(.974, .982)</w:t>
            </w:r>
          </w:p>
        </w:tc>
      </w:tr>
      <w:tr>
        <w:tc>
          <w:tcPr/>
          <w:p>
            <w:pPr>
              <w:pStyle w:val="Compact"/>
              <w:jc w:val="left"/>
            </w:pPr>
            <w:r>
              <w:t xml:space="preserve">Gallop</w:t>
            </w:r>
          </w:p>
        </w:tc>
        <w:tc>
          <w:tcPr/>
          <w:p>
            <w:pPr>
              <w:pStyle w:val="Compact"/>
              <w:jc w:val="center"/>
            </w:pPr>
            <w:r>
              <w:t xml:space="preserve">.89(.847, .926)</w:t>
            </w:r>
          </w:p>
        </w:tc>
        <w:tc>
          <w:tcPr/>
          <w:p>
            <w:pPr>
              <w:pStyle w:val="Compact"/>
              <w:jc w:val="center"/>
            </w:pPr>
            <w:r>
              <w:t xml:space="preserve">.94(.927, .952)</w:t>
            </w:r>
          </w:p>
        </w:tc>
      </w:tr>
    </w:tbl>
    <w:bookmarkEnd w:id="31"/>
    <w:p>
      <w:pPr>
        <w:pStyle w:val="BodyText"/>
      </w:pPr>
      <w:r>
        <w:rPr>
          <w:iCs/>
          <w:i/>
        </w:rPr>
        <w:t xml:space="preserve">Note</w:t>
      </w:r>
      <w:r>
        <w:t xml:space="preserve">. Sample size = 30. Values in parentheses refer to confidence interval.</w:t>
      </w:r>
    </w:p>
    <w:p>
      <w:pPr>
        <w:pStyle w:val="BodyText"/>
      </w:pPr>
      <w:r>
        <w:t xml:space="preserve">Kw= Weighted Kappa; ICC = Intraclass Correlation Coefficient.</w:t>
      </w:r>
    </w:p>
    <w:bookmarkStart w:id="32"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 [FOIL;</w:t>
      </w:r>
      <w:r>
        <w:t xml:space="preserve"> </w:t>
      </w:r>
      <w:r>
        <w:t xml:space="preserve">Cameron and Trivedi (2013)</w:t>
      </w:r>
      <w:r>
        <w:t xml:space="preserve">]</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2"/>
    <w:bookmarkStart w:id="33"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3"/>
    <w:bookmarkEnd w:id="34"/>
    <w:bookmarkStart w:id="41"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35">
        <w:r>
          <w:rPr>
            <w:rStyle w:val="Hyperlink"/>
          </w:rPr>
          <w:t xml:space="preserve">Journal Article Reporting Standards</w:t>
        </w:r>
      </w:hyperlink>
      <w:r>
        <w:t xml:space="preserve"> </w:t>
      </w:r>
      <w:r>
        <w:t xml:space="preserve">for what is needed for your type of article.</w:t>
      </w:r>
    </w:p>
    <w:bookmarkStart w:id="36"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36"/>
    <w:bookmarkStart w:id="39"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37" w:name="measure-a"/>
    <w:p>
      <w:pPr>
        <w:pStyle w:val="Heading3"/>
      </w:pPr>
      <w:r>
        <w:t xml:space="preserve">Measure A</w:t>
      </w:r>
    </w:p>
    <w:p>
      <w:pPr>
        <w:pStyle w:val="FirstParagraph"/>
      </w:pPr>
      <w:r>
        <w:t xml:space="preserve">Describe Measure A.</w:t>
      </w:r>
    </w:p>
    <w:bookmarkEnd w:id="37"/>
    <w:bookmarkStart w:id="38" w:name="measure-b"/>
    <w:p>
      <w:pPr>
        <w:pStyle w:val="Heading3"/>
      </w:pPr>
      <w:r>
        <w:t xml:space="preserve">Measure B</w:t>
      </w:r>
    </w:p>
    <w:p>
      <w:pPr>
        <w:pStyle w:val="FirstParagraph"/>
      </w:pPr>
      <w:r>
        <w:t xml:space="preserve">Describe Measure B.</w:t>
      </w:r>
    </w:p>
    <w:bookmarkEnd w:id="38"/>
    <w:bookmarkEnd w:id="39"/>
    <w:bookmarkStart w:id="40"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0"/>
    <w:bookmarkEnd w:id="41"/>
    <w:bookmarkStart w:id="52" w:name="results-1"/>
    <w:p>
      <w:pPr>
        <w:pStyle w:val="Heading1"/>
      </w:pPr>
      <w:r>
        <w:t xml:space="preserve">Results</w:t>
      </w:r>
    </w:p>
    <w:bookmarkStart w:id="51"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2" w:name="apafg-myplot"/>
    <w:p>
      <w:pPr>
        <w:pStyle w:val="FigureTitle"/>
      </w:pPr>
      <w:r>
        <w:t xml:space="preserve">Figure 1</w:t>
      </w:r>
    </w:p>
    <w:bookmarkEnd w:id="42"/>
    <w:p>
      <w:pPr>
        <w:pStyle w:val="Caption"/>
      </w:pPr>
      <w:r>
        <w:t xml:space="preserve">This is the figure caption.</w:t>
      </w:r>
    </w:p>
    <w:p>
      <w:pPr>
        <w:pStyle w:val="FigureWithNote"/>
      </w:pPr>
      <w:r>
        <w:drawing>
          <wp:inline>
            <wp:extent cx="5943600" cy="5943600"/>
            <wp:effectExtent b="0" l="0" r="0" t="0"/>
            <wp:docPr descr="" title="" id="44" name="Picture"/>
            <a:graphic>
              <a:graphicData uri="http://schemas.openxmlformats.org/drawingml/2006/picture">
                <pic:pic>
                  <pic:nvPicPr>
                    <pic:cNvPr descr="linoP_files/figure-docx/apafg-myplot-1.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46" w:name="apafg-importedgraphic"/>
    <w:p>
      <w:pPr>
        <w:pStyle w:val="FigureTitle"/>
      </w:pPr>
      <w:r>
        <w:t xml:space="preserve">Figure 2</w:t>
      </w:r>
    </w:p>
    <w:bookmarkEnd w:id="46"/>
    <w:p>
      <w:pPr>
        <w:pStyle w:val="Caption"/>
      </w:pPr>
      <w:r>
        <w:t xml:space="preserve">This is an imported graphic.</w:t>
      </w:r>
    </w:p>
    <w:p>
      <w:pPr>
        <w:pStyle w:val="FigureWithNote"/>
      </w:pPr>
      <w:r>
        <w:drawing>
          <wp:inline>
            <wp:extent cx="3251200" cy="3251200"/>
            <wp:effectExtent b="0" l="0" r="0" t="0"/>
            <wp:docPr descr="" title="" id="48" name="Picture"/>
            <a:graphic>
              <a:graphicData uri="http://schemas.openxmlformats.org/drawingml/2006/picture">
                <pic:pic>
                  <pic:nvPicPr>
                    <pic:cNvPr descr="orcid.png" id="49" name="Picture"/>
                    <pic:cNvPicPr>
                      <a:picLocks noChangeArrowheads="1" noChangeAspect="1"/>
                    </pic:cNvPicPr>
                  </pic:nvPicPr>
                  <pic:blipFill>
                    <a:blip r:embed="rId47"/>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0" w:name="apatb-mytable"/>
    <w:p>
      <w:pPr>
        <w:pStyle w:val="FigureTitle"/>
      </w:pPr>
      <w:r>
        <w:t xml:space="preserve">Table 1</w:t>
      </w:r>
    </w:p>
    <w:bookmarkEnd w:id="50"/>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1"/>
    <w:bookmarkEnd w:id="52"/>
    <w:bookmarkStart w:id="55" w:name="discussion"/>
    <w:p>
      <w:pPr>
        <w:pStyle w:val="Heading1"/>
      </w:pPr>
      <w:r>
        <w:t xml:space="preserve">Discussion</w:t>
      </w:r>
    </w:p>
    <w:p>
      <w:pPr>
        <w:pStyle w:val="FirstParagraph"/>
      </w:pPr>
      <w:r>
        <w:t xml:space="preserve">Describe results in non-statistical terms.</w:t>
      </w:r>
      <w:r>
        <w:t xml:space="preserve"> </w:t>
      </w:r>
    </w:p>
    <w:bookmarkStart w:id="53"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3"/>
    <w:bookmarkStart w:id="54" w:name="conclusion"/>
    <w:p>
      <w:pPr>
        <w:pStyle w:val="Heading2"/>
      </w:pPr>
      <w:r>
        <w:t xml:space="preserve">Conclusion</w:t>
      </w:r>
    </w:p>
    <w:p>
      <w:pPr>
        <w:pStyle w:val="FirstParagraph"/>
      </w:pPr>
      <w:r>
        <w:t xml:space="preserve">Let’s sum this up.</w:t>
      </w:r>
    </w:p>
    <w:bookmarkEnd w:id="54"/>
    <w:bookmarkEnd w:id="55"/>
    <w:bookmarkStart w:id="59" w:name="references"/>
    <w:p>
      <w:pPr>
        <w:pStyle w:val="Heading1"/>
      </w:pPr>
      <w:r>
        <w:t xml:space="preserve">References</w:t>
      </w:r>
    </w:p>
    <w:bookmarkStart w:id="58" w:name="refs"/>
    <w:bookmarkStart w:id="56"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56"/>
    <w:bookmarkStart w:id="57"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57"/>
    <w:bookmarkEnd w:id="58"/>
    <w:p>
      <w:r>
        <w:br w:type="page"/>
      </w:r>
    </w:p>
    <w:bookmarkEnd w:id="59"/>
    <w:bookmarkStart w:id="61" w:name="appendix"/>
    <w:p>
      <w:pPr>
        <w:pStyle w:val="Heading1"/>
      </w:pPr>
      <w:r>
        <w:t xml:space="preserve">Appendix</w:t>
      </w:r>
    </w:p>
    <w:p>
      <w:pPr>
        <w:pStyle w:val="FirstParagraph"/>
      </w:pPr>
      <w:r>
        <w:t xml:space="preserve">If there are multiple appendices, label them with level 1 headings as Appendix A, Appendix B, and so forth.</w:t>
      </w:r>
    </w:p>
    <w:p>
      <w:pPr>
        <w:pStyle w:val="BodyText"/>
      </w:pPr>
      <w:r>
        <w:t xml:space="preserve">In Table 2, there are some numbers.</w:t>
      </w:r>
    </w:p>
    <w:bookmarkStart w:id="60" w:name="apatb-mymarkdowntable"/>
    <w:p>
      <w:pPr>
        <w:pStyle w:val="FigureTitle"/>
      </w:pPr>
      <w:r>
        <w:t xml:space="preserve">Table 2</w:t>
      </w:r>
    </w:p>
    <w:bookmarkEnd w:id="60"/>
    <w:p>
      <w:pPr>
        <w:pStyle w:val="Caption"/>
      </w:pPr>
      <w:r>
        <w:t xml:space="preserve">Figure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p>
      <w:pPr>
        <w:pStyle w:val="FigureNote"/>
      </w:pPr>
      <w:r>
        <w:rPr>
          <w:iCs/>
          <w:i/>
        </w:rPr>
        <w:t xml:space="preserve">Note</w:t>
      </w:r>
      <w:r>
        <w:t xml:space="preserve">. This is a note below the markdown table.</w:t>
      </w:r>
    </w:p>
    <w:bookmarkEnd w:id="61"/>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35" Target="https://apastyle.apa.org/jars" TargetMode="External" /></Relationships>
</file>

<file path=word/_rels/footnotes.xml.rels><?xml version="1.0" encoding="UTF-8"?><Relationships xmlns="http://schemas.openxmlformats.org/package/2006/relationships"><Relationship Type="http://schemas.openxmlformats.org/officeDocument/2006/relationships/hyperlink" Id="rId35" Target="https://apastyle.apa.org/j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2023-06-29T20:51:22Z</dcterms:created>
  <dcterms:modified xsi:type="dcterms:W3CDTF">2023-06-29T20:51:22Z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