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a1910cd6815dd85d12b197a13413c08680d45d"/>
    <w:p>
      <w:pPr>
        <w:pStyle w:val="Heading1"/>
      </w:pPr>
      <w:r>
        <w:t xml:space="preserve">Association Between Fundamental Motor Skill Domains and Physical Fitness Components in Children Aged 5 to 11 Years</w:t>
      </w:r>
    </w:p>
    <w:p>
      <w:pPr>
        <w:pStyle w:val="FirstParagraph"/>
      </w:pPr>
    </w:p>
    <w:p>
      <w:pPr>
        <w:pStyle w:val="Author"/>
      </w:pPr>
      <w:r>
        <w:t xml:space="preserve">Oldemar Mazzardo</w:t>
      </w:r>
      <w:r>
        <w:rPr>
          <w:vertAlign w:val="superscript"/>
        </w:rPr>
        <w:t xml:space="preserve">1</w:t>
      </w:r>
      <w:r>
        <w:t xml:space="preserve">, Bárbara Maria Weis</w:t>
      </w:r>
      <w:r>
        <w:rPr>
          <w:vertAlign w:val="superscript"/>
        </w:rPr>
        <w:t xml:space="preserve">1</w:t>
      </w:r>
      <w:r>
        <w:t xml:space="preserve">, Adelar Aparecido Sampaio</w:t>
      </w:r>
      <w:r>
        <w:rPr>
          <w:vertAlign w:val="superscript"/>
        </w:rPr>
        <w:t xml:space="preserve">1</w:t>
      </w:r>
      <w:r>
        <w:t xml:space="preserve">, Dartel Ferrari de Lima</w:t>
      </w:r>
      <w:r>
        <w:rPr>
          <w:vertAlign w:val="superscript"/>
        </w:rPr>
        <w:t xml:space="preserve">1</w:t>
      </w:r>
      <w:r>
        <w:t xml:space="preserve">, Dayane Cristina de Souza</w:t>
      </w:r>
      <w:r>
        <w:rPr>
          <w:vertAlign w:val="superscript"/>
        </w:rPr>
        <w:t xml:space="preserve">1</w:t>
      </w:r>
      <w:r>
        <w:t xml:space="preserve">, and Ovande Furtado Jr</w:t>
      </w:r>
      <w:r>
        <w:rPr>
          <w:vertAlign w:val="superscript"/>
        </w:rPr>
        <w:t xml:space="preserve">2</w:t>
      </w:r>
    </w:p>
    <w:p>
      <w:pPr>
        <w:pStyle w:val="Author"/>
      </w:pPr>
      <w:r>
        <w:rPr>
          <w:vertAlign w:val="superscript"/>
        </w:rPr>
        <w:t xml:space="preserve">1</w:t>
      </w:r>
      <w:r>
        <w:t xml:space="preserve">Western Paraná State University - Unioeste</w:t>
      </w:r>
    </w:p>
    <w:p>
      <w:pPr>
        <w:pStyle w:val="Author"/>
      </w:pPr>
      <w:r>
        <w:rPr>
          <w:vertAlign w:val="superscript"/>
        </w:rPr>
        <w:t xml:space="preserve">2</w:t>
      </w:r>
      <w:r>
        <w:t xml:space="preserve">Department of Kinesiology, California State University, Northridge</w:t>
      </w:r>
    </w:p>
    <w:p>
      <w:pPr>
        <w:pStyle w:val="BodyText"/>
      </w:pPr>
    </w:p>
    <w:bookmarkEnd w:id="20"/>
    <w:bookmarkStart w:id="32" w:name="author-note"/>
    <w:p>
      <w:pPr>
        <w:pStyle w:val="Heading1"/>
      </w:pPr>
      <w:r>
        <w:t xml:space="preserve">Author Note</w:t>
      </w:r>
    </w:p>
    <w:p>
      <w:pPr>
        <w:pStyle w:val="AuthorNote"/>
      </w:pPr>
      <w:r>
        <w:t xml:space="preserve">Oldemar Mazzardo</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https://orcid.org/0000-0001-5325-9815</w:t>
      </w:r>
    </w:p>
    <w:p>
      <w:pPr>
        <w:pStyle w:val="AuthorNote"/>
      </w:pPr>
      <w:r>
        <w:t xml:space="preserve">Adelar Aparecido Sampaio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https://orcid.org/0000-0003-4386-1364</w:t>
      </w:r>
    </w:p>
    <w:p>
      <w:pPr>
        <w:pStyle w:val="AuthorNote"/>
      </w:pPr>
      <w:r>
        <w:t xml:space="preserve">Dartel Ferrari de Lima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https://orcid.org/0000-0002-3633-9458</w:t>
      </w:r>
    </w:p>
    <w:p>
      <w:pPr>
        <w:pStyle w:val="AuthorNote"/>
      </w:pPr>
      <w:r>
        <w:t xml:space="preserve">Dayane Cristina de Souza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https://orcid.org/0000-0003-4552-6500</w:t>
      </w:r>
    </w:p>
    <w:p>
      <w:pPr>
        <w:pStyle w:val="AuthorNote"/>
      </w:pPr>
      <w:r>
        <w:t xml:space="preserve">Ovande Furtado Jr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https://orcid.org//0000-0003-3847-6314</w:t>
      </w:r>
    </w:p>
    <w:p>
      <w:pPr>
        <w:pStyle w:val="AuthorNote"/>
      </w:pPr>
      <w:r>
        <w:t xml:space="preserve">Adelar Aparecido Sampaio is now at the Federal University of Mato Grosso do Sul.</w:t>
      </w:r>
    </w:p>
    <w:p>
      <w:pPr>
        <w:pStyle w:val="AuthorNote"/>
      </w:pPr>
      <w:r>
        <w:t xml:space="preserve">Correspondence concerning this article should be addressed to Ovande Furtado Jr, Department of Kinesiology, California State University, Northridge, 18111 Nordhoff St, Northridge, CA 91330-8287, Email: ovandef@csun.edu (818-564-7507)</w:t>
      </w:r>
    </w:p>
    <w:bookmarkEnd w:id="32"/>
    <w:p>
      <w:r>
        <w:br w:type="page"/>
      </w:r>
    </w:p>
    <w:bookmarkStart w:id="33"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33"/>
    <w:p>
      <w:r>
        <w:br w:type="page"/>
      </w:r>
    </w:p>
    <w:bookmarkStart w:id="40" w:name="X20c96f8501efecdef64a3ce0fd71f0f7493daf9"/>
    <w:p>
      <w:pPr>
        <w:pStyle w:val="Heading1"/>
      </w:pPr>
      <w:r>
        <w:t xml:space="preserve">Association Between Fundamental Motor Skill Domains and Physical Fitness Components in Children Aged 5 to 11 Years</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4"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4"/>
    <w:bookmarkStart w:id="37" w:name="a-level-2-heading-without-text-below-it"/>
    <w:p>
      <w:pPr>
        <w:pStyle w:val="Heading2"/>
      </w:pPr>
      <w:r>
        <w:t xml:space="preserve">A Level 2 Heading Without Text Below It</w:t>
      </w:r>
    </w:p>
    <w:bookmarkStart w:id="35"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5"/>
    <w:bookmarkStart w:id="36"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6"/>
    <w:bookmarkEnd w:id="37"/>
    <w:bookmarkStart w:id="38"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 [FOIL;</w:t>
      </w:r>
      <w:r>
        <w:t xml:space="preserve"> </w:t>
      </w:r>
      <w:r>
        <w:t xml:space="preserve">Cameron and Trivedi (2013)</w:t>
      </w:r>
      <w:r>
        <w:t xml:space="preserve">]</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8"/>
    <w:bookmarkStart w:id="39"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9"/>
    <w:bookmarkEnd w:id="40"/>
    <w:bookmarkStart w:id="4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1">
        <w:r>
          <w:rPr>
            <w:rStyle w:val="Hyperlink"/>
          </w:rPr>
          <w:t xml:space="preserve">Journal Article Reporting Standards</w:t>
        </w:r>
      </w:hyperlink>
      <w:r>
        <w:t xml:space="preserve"> </w:t>
      </w:r>
      <w:r>
        <w:t xml:space="preserve">for what is needed for your type of article.</w:t>
      </w:r>
    </w:p>
    <w:bookmarkStart w:id="42"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2"/>
    <w:bookmarkStart w:id="45"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3" w:name="measure-a"/>
    <w:p>
      <w:pPr>
        <w:pStyle w:val="Heading3"/>
      </w:pPr>
      <w:r>
        <w:t xml:space="preserve">Measure A</w:t>
      </w:r>
    </w:p>
    <w:p>
      <w:pPr>
        <w:pStyle w:val="FirstParagraph"/>
      </w:pPr>
      <w:r>
        <w:t xml:space="preserve">Describe Measure A.</w:t>
      </w:r>
    </w:p>
    <w:bookmarkEnd w:id="43"/>
    <w:bookmarkStart w:id="44" w:name="measure-b"/>
    <w:p>
      <w:pPr>
        <w:pStyle w:val="Heading3"/>
      </w:pPr>
      <w:r>
        <w:t xml:space="preserve">Measure B</w:t>
      </w:r>
    </w:p>
    <w:p>
      <w:pPr>
        <w:pStyle w:val="FirstParagraph"/>
      </w:pPr>
      <w:r>
        <w:t xml:space="preserve">Describe Measure B.</w:t>
      </w:r>
    </w:p>
    <w:bookmarkEnd w:id="44"/>
    <w:bookmarkEnd w:id="45"/>
    <w:bookmarkStart w:id="46"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6"/>
    <w:bookmarkEnd w:id="47"/>
    <w:bookmarkStart w:id="59" w:name="results"/>
    <w:p>
      <w:pPr>
        <w:pStyle w:val="Heading1"/>
      </w:pPr>
      <w:r>
        <w:t xml:space="preserve">Results</w:t>
      </w:r>
    </w:p>
    <w:bookmarkStart w:id="58"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8" w:name="apafg-myplot"/>
    <w:p>
      <w:pPr>
        <w:pStyle w:val="FigureTitle"/>
      </w:pPr>
      <w:r>
        <w:t xml:space="preserve">Figure 1</w:t>
      </w:r>
    </w:p>
    <w:bookmarkEnd w:id="48"/>
    <w:p>
      <w:pPr>
        <w:pStyle w:val="Caption"/>
      </w:pPr>
      <w:r>
        <w:t xml:space="preserve">This is the figure caption.</w:t>
      </w:r>
    </w:p>
    <w:p>
      <w:pPr>
        <w:pStyle w:val="FigureWithNote"/>
      </w:pPr>
      <w:r>
        <w:drawing>
          <wp:inline>
            <wp:extent cx="5943600" cy="5943600"/>
            <wp:effectExtent b="0" l="0" r="0" t="0"/>
            <wp:docPr descr="" title="" id="50" name="Picture"/>
            <a:graphic>
              <a:graphicData uri="http://schemas.openxmlformats.org/drawingml/2006/picture">
                <pic:pic>
                  <pic:nvPicPr>
                    <pic:cNvPr descr="mazzardo23_files/figure-docx/apafg-myplot-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52" w:name="apafg-importedgraphic"/>
    <w:p>
      <w:pPr>
        <w:pStyle w:val="FigureTitle"/>
      </w:pPr>
      <w:r>
        <w:t xml:space="preserve">Figure 2</w:t>
      </w:r>
    </w:p>
    <w:bookmarkEnd w:id="52"/>
    <w:p>
      <w:pPr>
        <w:pStyle w:val="Caption"/>
      </w:pPr>
      <w:r>
        <w:t xml:space="preserve">This is an imported graphic.</w:t>
      </w:r>
    </w:p>
    <w:p>
      <w:pPr>
        <w:pStyle w:val="FigureWithNote"/>
      </w:pPr>
      <w:r>
        <w:drawing>
          <wp:inline>
            <wp:extent cx="3251200" cy="3251200"/>
            <wp:effectExtent b="0" l="0" r="0" t="0"/>
            <wp:docPr descr="" title="" id="54" name="Picture"/>
            <a:graphic>
              <a:graphicData uri="http://schemas.openxmlformats.org/drawingml/2006/picture">
                <pic:pic>
                  <pic:nvPicPr>
                    <pic:cNvPr descr="orcid.png" id="55" name="Picture"/>
                    <pic:cNvPicPr>
                      <a:picLocks noChangeArrowheads="1" noChangeAspect="1"/>
                    </pic:cNvPicPr>
                  </pic:nvPicPr>
                  <pic:blipFill>
                    <a:blip r:embed="rId53"/>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6" w:name="apatb-mytable"/>
    <w:p>
      <w:pPr>
        <w:pStyle w:val="FigureTitle"/>
      </w:pPr>
      <w:r>
        <w:t xml:space="preserve">Table 1</w:t>
      </w:r>
    </w:p>
    <w:bookmarkEnd w:id="56"/>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In Table 2, there is an example of using a plain markdown table via the</w:t>
      </w:r>
      <w:r>
        <w:t xml:space="preserve"> </w:t>
      </w:r>
      <w:r>
        <w:rPr>
          <w:rStyle w:val="VerbatimChar"/>
        </w:rPr>
        <w:t xml:space="preserve">asis</w:t>
      </w:r>
      <w:r>
        <w:t xml:space="preserve"> </w:t>
      </w:r>
      <w:r>
        <w:t xml:space="preserve">engine.</w:t>
      </w:r>
    </w:p>
    <w:bookmarkStart w:id="57" w:name="apatb-mymarkdowntable"/>
    <w:p>
      <w:pPr>
        <w:pStyle w:val="FigureTitle"/>
      </w:pPr>
      <w:r>
        <w:t xml:space="preserve">Table 2</w:t>
      </w:r>
    </w:p>
    <w:bookmarkEnd w:id="57"/>
    <w:p>
      <w:pPr>
        <w:pStyle w:val="Caption"/>
      </w:pPr>
      <w:r>
        <w:t xml:space="preserve">Figure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8"/>
    <w:bookmarkEnd w:id="59"/>
    <w:bookmarkStart w:id="62" w:name="discussion"/>
    <w:p>
      <w:pPr>
        <w:pStyle w:val="Heading1"/>
      </w:pPr>
      <w:r>
        <w:t xml:space="preserve">Discussion</w:t>
      </w:r>
    </w:p>
    <w:p>
      <w:pPr>
        <w:pStyle w:val="FirstParagraph"/>
      </w:pPr>
      <w:r>
        <w:t xml:space="preserve">Describe results in non-statistical terms.</w:t>
      </w:r>
      <w:r>
        <w:t xml:space="preserve"> </w:t>
      </w:r>
    </w:p>
    <w:bookmarkStart w:id="60"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0"/>
    <w:bookmarkStart w:id="61" w:name="conclusion"/>
    <w:p>
      <w:pPr>
        <w:pStyle w:val="Heading2"/>
      </w:pPr>
      <w:r>
        <w:t xml:space="preserve">Conclusion</w:t>
      </w:r>
    </w:p>
    <w:p>
      <w:pPr>
        <w:pStyle w:val="FirstParagraph"/>
      </w:pPr>
      <w:r>
        <w:t xml:space="preserve">Let’s sum this up.</w:t>
      </w:r>
    </w:p>
    <w:p>
      <w:r>
        <w:br w:type="page"/>
      </w:r>
    </w:p>
    <w:bookmarkEnd w:id="61"/>
    <w:bookmarkEnd w:id="62"/>
    <w:bookmarkStart w:id="67" w:name="references"/>
    <w:p>
      <w:pPr>
        <w:pStyle w:val="Heading1"/>
      </w:pPr>
      <w:r>
        <w:t xml:space="preserve">References</w:t>
      </w:r>
    </w:p>
    <w:bookmarkStart w:id="66" w:name="refs"/>
    <w:bookmarkStart w:id="64"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63">
        <w:r>
          <w:rPr>
            <w:rStyle w:val="Hyperlink"/>
          </w:rPr>
          <w:t xml:space="preserve">https://doi.org/10.1017/CBO9781139013567</w:t>
        </w:r>
      </w:hyperlink>
    </w:p>
    <w:bookmarkEnd w:id="64"/>
    <w:bookmarkStart w:id="65"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w:t>
      </w:r>
      <w:r>
        <w:t xml:space="preserve">(3rd ed.). Lawrence Erlbaum Associates.</w:t>
      </w:r>
    </w:p>
    <w:bookmarkEnd w:id="65"/>
    <w:bookmarkEnd w:id="66"/>
    <w:p>
      <w:r>
        <w:br w:type="page"/>
      </w:r>
    </w:p>
    <w:bookmarkEnd w:id="67"/>
    <w:bookmarkStart w:id="68" w:name="appendix"/>
    <w:p>
      <w:pPr>
        <w:pStyle w:val="Heading1"/>
      </w:pPr>
      <w:r>
        <w:t xml:space="preserve">Appendix</w:t>
      </w:r>
    </w:p>
    <w:p>
      <w:pPr>
        <w:pStyle w:val="FirstParagraph"/>
      </w:pPr>
      <w:r>
        <w:t xml:space="preserve">If there are multiple appendices, label them with level 1 headings as Appendix A, Appendix B, and so forth.</w:t>
      </w:r>
    </w:p>
    <w:bookmarkEnd w:id="68"/>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FMS AND PA IN CHILDREN</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41" Target="https://apastyle.apa.org/jars" TargetMode="External" /><Relationship Type="http://schemas.openxmlformats.org/officeDocument/2006/relationships/hyperlink" Id="rId63" Target="https://doi.org/10.1017/CBO9781139013567" TargetMode="External" /></Relationships>
</file>

<file path=word/_rels/footnotes.xml.rels><?xml version="1.0" encoding="UTF-8"?><Relationships xmlns="http://schemas.openxmlformats.org/package/2006/relationships"><Relationship Type="http://schemas.openxmlformats.org/officeDocument/2006/relationships/hyperlink" Id="rId41" Target="https://apastyle.apa.org/jars" TargetMode="External" /><Relationship Type="http://schemas.openxmlformats.org/officeDocument/2006/relationships/hyperlink" Id="rId63" Target="https://doi.org/10.1017/CBO9781139013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2023-07-21T21:02:38Z</dcterms:created>
  <dcterms:modified xsi:type="dcterms:W3CDTF">2023-07-21T21:02:38Z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FMS AND PA IN CHILDREN</vt:lpwstr>
  </property>
  <property fmtid="{D5CDD505-2E9C-101B-9397-08002B2CF9AE}" pid="20" name="tbl-cap-location">
    <vt:lpwstr>top</vt:lpwstr>
  </property>
  <property fmtid="{D5CDD505-2E9C-101B-9397-08002B2CF9AE}" pid="21" name="toc-title">
    <vt:lpwstr>Table of contents</vt:lpwstr>
  </property>
</Properties>
</file>