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Cs/>
          <w:i/>
        </w:rPr>
        <w:t xml:space="preserve">Ana Fulano</w:t>
      </w:r>
      <w:r>
        <w:rPr>
          <w:bCs/>
          <w:b/>
        </w:rPr>
        <w:t xml:space="preserve">: </w:t>
      </w:r>
      <w:r>
        <w:t xml:space="preserve">conceptualization and writing – original draft. </w:t>
      </w:r>
      <w:r>
        <w:rPr>
          <w:iCs/>
          <w:i/>
        </w:rPr>
        <w:t xml:space="preserve">Blanca Zutano</w:t>
      </w:r>
      <w:r>
        <w:rPr>
          <w:bCs/>
          <w:b/>
        </w:rPr>
        <w:t xml:space="preserve">: </w:t>
      </w:r>
      <w:r>
        <w:t xml:space="preserve">project administration and formal analysis. </w:t>
      </w:r>
      <w:r>
        <w:rPr>
          <w:iCs/>
          <w:i/>
        </w:rPr>
        <w:t xml:space="preserve">Carina Mengano</w:t>
      </w:r>
      <w:r>
        <w:rPr>
          <w:bCs/>
          <w:b/>
        </w:rPr>
        <w:t xml:space="preserve">: </w:t>
      </w:r>
      <w:r>
        <w:t xml:space="preserve">formal analysis and writing – original draft. </w:t>
      </w:r>
      <w:r>
        <w:rPr>
          <w:iCs/>
          <w:i/>
        </w:rPr>
        <w:t xml:space="preserve">Dolorita C. Perengano</w:t>
      </w:r>
      <w:r>
        <w:rPr>
          <w:bCs/>
          <w:b/>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Cs/>
          <w:i/>
        </w:rPr>
        <w:t xml:space="preserve">Keywords</w:t>
      </w:r>
      <w:r>
        <w:t xml:space="preserve">: keyword1, keyword2, keyword3</w:t>
      </w:r>
    </w:p>
    <w:p>
      <w:r>
        <w:br w:type="page"/>
      </w:r>
    </w:p>
    <w:bookmarkEnd w:id="35"/>
    <w:bookmarkStart w:id="68"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36">
        <w:r>
          <w:rPr>
            <w:rStyle w:val="Hyperlink"/>
          </w:rPr>
          <w:t xml:space="preserve">here</w:t>
        </w:r>
      </w:hyperlink>
      <w:r>
        <w:t xml:space="preserve">.</w:t>
      </w:r>
    </w:p>
    <w:bookmarkStart w:id="42"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37">
        <w:r>
          <w:rPr>
            <w:rStyle w:val="Hyperlink"/>
          </w:rPr>
          <w:t xml:space="preserve">title case</w:t>
        </w:r>
      </w:hyperlink>
      <w:r>
        <w:t xml:space="preserve">.</w:t>
      </w:r>
    </w:p>
    <w:bookmarkStart w:id="41"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39" name="Picture"/>
            <a:graphic>
              <a:graphicData uri="http://schemas.openxmlformats.org/drawingml/2006/picture">
                <pic:pic>
                  <pic:nvPicPr>
                    <pic:cNvPr descr="example_files/figure-docx/fig-myplot-1.png" id="40" name="Picture"/>
                    <pic:cNvPicPr>
                      <a:picLocks noChangeArrowheads="1" noChangeAspect="1"/>
                    </pic:cNvPicPr>
                  </pic:nvPicPr>
                  <pic:blipFill>
                    <a:blip r:embed="rId38"/>
                    <a:stretch>
                      <a:fillRect/>
                    </a:stretch>
                  </pic:blipFill>
                  <pic:spPr bwMode="auto">
                    <a:xfrm>
                      <a:off x="0" y="0"/>
                      <a:ext cx="2772075" cy="1848050"/>
                    </a:xfrm>
                    <a:prstGeom prst="rect">
                      <a:avLst/>
                    </a:prstGeom>
                    <a:noFill/>
                    <a:ln w="9525">
                      <a:noFill/>
                      <a:headEnd/>
                      <a:tailEnd/>
                    </a:ln>
                  </pic:spPr>
                </pic:pic>
              </a:graphicData>
            </a:graphic>
          </wp:inline>
        </w:drawing>
      </w:r>
    </w:p>
    <w:bookmarkEnd w:id="41"/>
    <w:p>
      <w:pPr>
        <w:pStyle w:val="FigureNote"/>
      </w:pPr>
      <w:r>
        <w:rPr>
          <w:iCs/>
          <w:i/>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2"/>
    <w:bookmarkStart w:id="50"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46"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44" name="Picture"/>
            <a:graphic>
              <a:graphicData uri="http://schemas.openxmlformats.org/drawingml/2006/picture">
                <pic:pic>
                  <pic:nvPicPr>
                    <pic:cNvPr descr="sampleimage.png" id="45" name="Picture"/>
                    <pic:cNvPicPr>
                      <a:picLocks noChangeArrowheads="1" noChangeAspect="1"/>
                    </pic:cNvPicPr>
                  </pic:nvPicPr>
                  <pic:blipFill>
                    <a:blip r:embed="rId43"/>
                    <a:stretch>
                      <a:fillRect/>
                    </a:stretch>
                  </pic:blipFill>
                  <pic:spPr bwMode="auto">
                    <a:xfrm>
                      <a:off x="0" y="0"/>
                      <a:ext cx="2852928" cy="2037805"/>
                    </a:xfrm>
                    <a:prstGeom prst="rect">
                      <a:avLst/>
                    </a:prstGeom>
                    <a:noFill/>
                    <a:ln w="9525">
                      <a:noFill/>
                      <a:headEnd/>
                      <a:tailEnd/>
                    </a:ln>
                  </pic:spPr>
                </pic:pic>
              </a:graphicData>
            </a:graphic>
          </wp:inline>
        </w:drawing>
      </w:r>
    </w:p>
    <w:bookmarkEnd w:id="46"/>
    <w:p>
      <w:pPr>
        <w:pStyle w:val="FigureNote"/>
      </w:pPr>
      <w:r>
        <w:rPr>
          <w:iCs/>
          <w:i/>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49"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47" name="Picture"/>
            <a:graphic>
              <a:graphicData uri="http://schemas.openxmlformats.org/drawingml/2006/picture">
                <pic:pic>
                  <pic:nvPicPr>
                    <pic:cNvPr descr="sampleimage.png" id="48" name="Picture"/>
                    <pic:cNvPicPr>
                      <a:picLocks noChangeArrowheads="1" noChangeAspect="1"/>
                    </pic:cNvPicPr>
                  </pic:nvPicPr>
                  <pic:blipFill>
                    <a:blip r:embed="rId43"/>
                    <a:stretch>
                      <a:fillRect/>
                    </a:stretch>
                  </pic:blipFill>
                  <pic:spPr bwMode="auto">
                    <a:xfrm>
                      <a:off x="0" y="0"/>
                      <a:ext cx="2912364" cy="2080260"/>
                    </a:xfrm>
                    <a:prstGeom prst="rect">
                      <a:avLst/>
                    </a:prstGeom>
                    <a:noFill/>
                    <a:ln w="9525">
                      <a:noFill/>
                      <a:headEnd/>
                      <a:tailEnd/>
                    </a:ln>
                  </pic:spPr>
                </pic:pic>
              </a:graphicData>
            </a:graphic>
          </wp:inline>
        </w:drawing>
      </w:r>
    </w:p>
    <w:bookmarkEnd w:id="49"/>
    <w:p>
      <w:pPr>
        <w:pStyle w:val="FigureNote"/>
      </w:pPr>
      <w:r>
        <w:rPr>
          <w:iCs/>
          <w:i/>
        </w:rPr>
        <w:t xml:space="preserve">Note</w:t>
      </w:r>
      <w:r>
        <w:t xml:space="preserve">. A note below the figure</w:t>
      </w:r>
    </w:p>
    <w:p>
      <w:pPr>
        <w:pStyle w:val="BodyText"/>
      </w:pPr>
      <w:r>
        <w:t xml:space="preserve">Which style of creating figures you choose depends on preference and need.</w:t>
      </w:r>
    </w:p>
    <w:bookmarkEnd w:id="50"/>
    <w:bookmarkStart w:id="53"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1">
        <w:r>
          <w:rPr>
            <w:rStyle w:val="Hyperlink"/>
          </w:rPr>
          <w:t xml:space="preserve">flextable</w:t>
        </w:r>
      </w:hyperlink>
      <w:r>
        <w:t xml:space="preserve"> </w:t>
      </w:r>
      <w:r>
        <w:t xml:space="preserve">to be the best option when I need something more complex.</w:t>
      </w:r>
    </w:p>
    <w:bookmarkStart w:id="5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2"/>
    <w:p>
      <w:pPr>
        <w:pStyle w:val="FigureNote"/>
      </w:pPr>
      <w:r>
        <w:rPr>
          <w:iCs/>
          <w:i/>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 {tbl-mytable2}, there are some numbers.</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3"/>
    <w:bookmarkStart w:id="58"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57"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909911" cy="2772075"/>
            <wp:effectExtent b="0" l="0" r="0" t="0"/>
            <wp:docPr descr="" title="" id="55" name="Picture"/>
            <a:graphic>
              <a:graphicData uri="http://schemas.openxmlformats.org/drawingml/2006/picture">
                <pic:pic>
                  <pic:nvPicPr>
                    <pic:cNvPr descr="example_files/figure-docx/fig-twocolumn-1.png" id="56" name="Picture"/>
                    <pic:cNvPicPr>
                      <a:picLocks noChangeArrowheads="1" noChangeAspect="1"/>
                    </pic:cNvPicPr>
                  </pic:nvPicPr>
                  <pic:blipFill>
                    <a:blip r:embed="rId54"/>
                    <a:stretch>
                      <a:fillRect/>
                    </a:stretch>
                  </pic:blipFill>
                  <pic:spPr bwMode="auto">
                    <a:xfrm>
                      <a:off x="0" y="0"/>
                      <a:ext cx="5909911" cy="2772075"/>
                    </a:xfrm>
                    <a:prstGeom prst="rect">
                      <a:avLst/>
                    </a:prstGeom>
                    <a:noFill/>
                    <a:ln w="9525">
                      <a:noFill/>
                      <a:headEnd/>
                      <a:tailEnd/>
                    </a:ln>
                  </pic:spPr>
                </pic:pic>
              </a:graphicData>
            </a:graphic>
          </wp:inline>
        </w:drawing>
      </w:r>
    </w:p>
    <w:bookmarkEnd w:id="57"/>
    <w:p>
      <w:pPr>
        <w:pStyle w:val="FigureNote"/>
      </w:pPr>
      <w:r>
        <w:rPr>
          <w:iCs/>
          <w:i/>
        </w:rPr>
        <w:t xml:space="preserve">Note</w:t>
      </w:r>
      <w:r>
        <w:t xml:space="preserve">. Figures in two-column mode are only different for jou mode in .pdf documents</w:t>
      </w:r>
    </w:p>
    <w:bookmarkEnd w:id="58"/>
    <w:bookmarkStart w:id="59"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59"/>
    <w:bookmarkStart w:id="62" w:name="citations"/>
    <w:p>
      <w:pPr>
        <w:pStyle w:val="Heading2"/>
      </w:pPr>
      <w:r>
        <w:t xml:space="preserve">Citations</w:t>
      </w:r>
    </w:p>
    <w:p>
      <w:pPr>
        <w:pStyle w:val="FirstParagraph"/>
      </w:pPr>
      <w:r>
        <w:t xml:space="preserve">See</w:t>
      </w:r>
      <w:r>
        <w:t xml:space="preserve"> </w:t>
      </w:r>
      <w:hyperlink r:id="rId60">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61">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62"/>
    <w:bookmarkStart w:id="65"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63">
        <w:r>
          <w:rPr>
            <w:rStyle w:val="Hyperlink"/>
          </w:rPr>
          <w:t xml:space="preserve">here</w:t>
        </w:r>
      </w:hyperlink>
      <w:r>
        <w:t xml:space="preserve"> </w:t>
      </w:r>
      <w:r>
        <w:t xml:space="preserve">for more information.</w:t>
      </w:r>
    </w:p>
    <w:p>
      <w:pPr>
        <w:pStyle w:val="BodyText"/>
      </w:pPr>
      <w:bookmarkStart w:id="64"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64"/>
    </w:p>
    <w:bookmarkEnd w:id="65"/>
    <w:bookmarkStart w:id="66"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Cs/>
          <w:i/>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Brown (</w:t>
      </w:r>
      <w:hyperlink w:anchor="ref-brownHowKilledPluto2012">
        <w:r>
          <w:rPr>
            <w:rStyle w:val="Hyperlink"/>
          </w:rPr>
          <w:t xml:space="preserve">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Cs/>
          <w:i/>
        </w:rPr>
        <w:t xml:space="preserve">planet</w:t>
      </w:r>
      <w:r>
        <w:t xml:space="preserve"> </w:t>
      </w:r>
      <w:r>
        <w:t xml:space="preserve">that has a precise, lawyerly definition, in which certain criteria are specifically enumerated. Why does</w:t>
      </w:r>
      <w:r>
        <w:t xml:space="preserve"> </w:t>
      </w:r>
      <w:r>
        <w:rPr>
          <w:iCs/>
          <w:i/>
        </w:rPr>
        <w:t xml:space="preserve">planet</w:t>
      </w:r>
      <w:r>
        <w:t xml:space="preserve"> </w:t>
      </w:r>
      <w:r>
        <w:t xml:space="preserve">have such a definition but</w:t>
      </w:r>
      <w:r>
        <w:t xml:space="preserve"> </w:t>
      </w:r>
      <w:r>
        <w:rPr>
          <w:iCs/>
          <w:i/>
        </w:rPr>
        <w:t xml:space="preserve">star</w:t>
      </w:r>
      <w:r>
        <w:t xml:space="preserve">,</w:t>
      </w:r>
      <w:r>
        <w:t xml:space="preserve"> </w:t>
      </w:r>
      <w:r>
        <w:rPr>
          <w:iCs/>
          <w:i/>
        </w:rPr>
        <w:t xml:space="preserve">galaxy</w:t>
      </w:r>
      <w:r>
        <w:t xml:space="preserve">, and</w:t>
      </w:r>
      <w:r>
        <w:t xml:space="preserve"> </w:t>
      </w:r>
      <w:r>
        <w:rPr>
          <w:iCs/>
          <w:i/>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66"/>
    <w:bookmarkStart w:id="67"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7"/>
    <w:bookmarkEnd w:id="68"/>
    <w:bookmarkStart w:id="77"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69">
        <w:r>
          <w:rPr>
            <w:rStyle w:val="Hyperlink"/>
          </w:rPr>
          <w:t xml:space="preserve">Journal Article Reporting Standards</w:t>
        </w:r>
      </w:hyperlink>
      <w:r>
        <w:t xml:space="preserve"> </w:t>
      </w:r>
      <w:r>
        <w:t xml:space="preserve">for what is needed for your type of article.</w:t>
      </w:r>
    </w:p>
    <w:bookmarkStart w:id="70"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0"/>
    <w:bookmarkStart w:id="75"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73" w:name="measure-a"/>
    <w:p>
      <w:pPr>
        <w:pStyle w:val="Heading3"/>
      </w:pPr>
      <w:r>
        <w:t xml:space="preserve">Measure A</w:t>
      </w:r>
    </w:p>
    <w:bookmarkStart w:id="71" w:name="tbl-mytable2"/>
    <w:p>
      <w:pPr>
        <w:pStyle w:val="FigureTitle"/>
      </w:pPr>
      <w:r>
        <w:t xml:space="preserve">Table 2</w:t>
      </w:r>
    </w:p>
    <w:p>
      <w:pPr>
        <w:pStyle w:val="Caption"/>
      </w:pPr>
      <w:r>
        <w:t xml:space="preserve">My Table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pPr>
            <w:r>
              <w:t xml:space="preserve">Institution</w:t>
            </w:r>
          </w:p>
        </w:tc>
        <w:tc>
          <w:tcPr/>
          <w:p>
            <w:pPr>
              <w:pStyle w:val="Compact"/>
              <w:jc w:val="left"/>
            </w:pPr>
            <w:r>
              <w:t xml:space="preserve">Type</w:t>
            </w:r>
          </w:p>
        </w:tc>
        <w:tc>
          <w:tcPr/>
          <w:p>
            <w:pPr>
              <w:pStyle w:val="Compact"/>
              <w:jc w:val="left"/>
            </w:pPr>
            <w:r>
              <w:t xml:space="preserve">PE Activity</w:t>
            </w:r>
          </w:p>
        </w:tc>
        <w:tc>
          <w:tcPr/>
          <w:p>
            <w:pPr>
              <w:pStyle w:val="Compact"/>
              <w:jc w:val="left"/>
            </w:pPr>
            <w:r>
              <w:t xml:space="preserve">Required HW</w:t>
            </w:r>
          </w:p>
        </w:tc>
        <w:tc>
          <w:tcPr/>
          <w:p>
            <w:pPr>
              <w:pStyle w:val="Compact"/>
              <w:jc w:val="left"/>
            </w:pPr>
            <w:r>
              <w:t xml:space="preserve">HW Courses</w:t>
            </w:r>
          </w:p>
        </w:tc>
        <w:tc>
          <w:tcPr/>
          <w:p>
            <w:pPr>
              <w:pStyle w:val="Compact"/>
              <w:jc w:val="left"/>
            </w:pPr>
            <w:r>
              <w:t xml:space="preserve">Rec. Center</w:t>
            </w:r>
          </w:p>
        </w:tc>
      </w:tr>
      <w:tr>
        <w:tc>
          <w:tcPr/>
          <w:p>
            <w:pPr>
              <w:pStyle w:val="Compact"/>
              <w:jc w:val="left"/>
            </w:pPr>
            <w:r>
              <w:t xml:space="preserve">Arizona Christian University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71"/>
    <w:p>
      <w:pPr>
        <w:pStyle w:val="FigureNote"/>
      </w:pPr>
      <w:r>
        <w:rPr>
          <w:iCs/>
          <w:i/>
        </w:rPr>
        <w:t xml:space="preserve">Note</w:t>
      </w:r>
      <w:r>
        <w:t xml:space="preserve">. This is a note below the markdown table.</w:t>
      </w:r>
    </w:p>
    <w:p>
      <w:pPr>
        <w:pStyle w:val="BodyText"/>
      </w:pPr>
      <w:r>
        <w:t xml:space="preserve"> </w:t>
      </w:r>
    </w:p>
    <w:bookmarkStart w:id="72" w:name="tbl-mytable3"/>
    <w:p>
      <w:pPr>
        <w:pStyle w:val="FigureTitle"/>
      </w:pPr>
      <w:r>
        <w:t xml:space="preserve">Table 3</w:t>
      </w:r>
    </w:p>
    <w:p>
      <w:pPr>
        <w:pStyle w:val="Caption"/>
      </w:pPr>
      <w:r>
        <w:t xml:space="preserve">My Table</w:t>
      </w:r>
    </w:p>
    <w:tbl>
      <w:tblPr>
        <w:tblStyle w:val="Table"/>
        <w:tblW w:type="pct" w:w="5100"/>
        <w:tblLook w:firstRow="1" w:lastRow="0" w:firstColumn="0" w:lastColumn="0" w:noHBand="0" w:noVBand="0" w:val="0020"/>
        <w:jc w:val="start"/>
        <w:tblLayout w:type="fixed"/>
      </w:tblPr>
      <w:tblGrid>
        <w:gridCol w:w="1346"/>
        <w:gridCol w:w="1346"/>
        <w:gridCol w:w="1346"/>
        <w:gridCol w:w="1346"/>
        <w:gridCol w:w="1346"/>
        <w:gridCol w:w="1346"/>
      </w:tblGrid>
      <w:tr>
        <w:trPr>
          <w:tblHeader w:val="true"/>
        </w:trPr>
        <w:tc>
          <w:tcPr/>
          <w:p>
            <w:pPr>
              <w:pStyle w:val="Compact"/>
              <w:jc w:val="left"/>
            </w:pPr>
            <w:r>
              <w:t xml:space="preserve">Institution</w:t>
            </w:r>
          </w:p>
        </w:tc>
        <w:tc>
          <w:tcPr/>
          <w:p>
            <w:pPr>
              <w:pStyle w:val="Compact"/>
              <w:jc w:val="left"/>
            </w:pPr>
            <w:r>
              <w:t xml:space="preserve">Type</w:t>
            </w:r>
          </w:p>
        </w:tc>
        <w:tc>
          <w:tcPr/>
          <w:p>
            <w:pPr>
              <w:pStyle w:val="Compact"/>
              <w:jc w:val="left"/>
            </w:pPr>
            <w:r>
              <w:t xml:space="preserve">PE Activity</w:t>
            </w:r>
          </w:p>
        </w:tc>
        <w:tc>
          <w:tcPr/>
          <w:p>
            <w:pPr>
              <w:pStyle w:val="Compact"/>
              <w:jc w:val="left"/>
            </w:pPr>
            <w:r>
              <w:t xml:space="preserve">Required HW</w:t>
            </w:r>
          </w:p>
        </w:tc>
        <w:tc>
          <w:tcPr/>
          <w:p>
            <w:pPr>
              <w:pStyle w:val="Compact"/>
              <w:jc w:val="left"/>
            </w:pPr>
            <w:r>
              <w:t xml:space="preserve">HW Courses</w:t>
            </w:r>
          </w:p>
        </w:tc>
        <w:tc>
          <w:tcPr/>
          <w:p>
            <w:pPr>
              <w:pStyle w:val="Compact"/>
              <w:jc w:val="left"/>
            </w:pPr>
            <w:r>
              <w:t xml:space="preserve">Rec. Center</w:t>
            </w:r>
          </w:p>
        </w:tc>
      </w:tr>
      <w:tr>
        <w:tc>
          <w:tcPr/>
          <w:p>
            <w:pPr>
              <w:pStyle w:val="Compact"/>
              <w:jc w:val="left"/>
            </w:pPr>
            <w:r>
              <w:t xml:space="preserve">Arizona Christian University</w:t>
            </w:r>
          </w:p>
        </w:tc>
        <w:tc>
          <w:tcPr/>
          <w:p>
            <w:pPr>
              <w:pStyle w:val="Compact"/>
              <w:jc w:val="left"/>
            </w:pPr>
            <w:r>
              <w:t xml:space="preserve">4-year, Private</w:t>
            </w:r>
          </w:p>
        </w:tc>
        <w:tc>
          <w:tcPr/>
          <w:p>
            <w:pPr>
              <w:pStyle w:val="Compact"/>
              <w:jc w:val="left"/>
            </w:pPr>
            <w:r>
              <w:t xml:space="preserve">None</w:t>
            </w:r>
          </w:p>
        </w:tc>
        <w:tc>
          <w:tcPr/>
          <w:p>
            <w:pPr>
              <w:pStyle w:val="Compact"/>
              <w:jc w:val="left"/>
            </w:pPr>
            <w:r>
              <w:t xml:space="preserve">Partial; only required in coaching emphasis for secondary education. (3 credits)</w:t>
            </w:r>
          </w:p>
        </w:tc>
        <w:tc>
          <w:tcPr/>
          <w:p>
            <w:pPr>
              <w:pStyle w:val="Compact"/>
              <w:jc w:val="left"/>
            </w:pPr>
            <w:r>
              <w:t xml:space="preserve">Introduction to health and fitness, teaching lifetime health and fitness</w:t>
            </w:r>
          </w:p>
        </w:tc>
        <w:tc>
          <w:tcPr/>
          <w:p>
            <w:pPr>
              <w:pStyle w:val="Compact"/>
              <w:jc w:val="left"/>
            </w:pPr>
            <w:r>
              <w:t xml:space="preserve">Yes</w:t>
            </w:r>
          </w:p>
        </w:tc>
      </w:tr>
      <w:tr>
        <w:tc>
          <w:tcPr/>
          <w:p>
            <w:pPr>
              <w:pStyle w:val="Compact"/>
              <w:jc w:val="left"/>
            </w:pPr>
            <w:r>
              <w:t xml:space="preserve">Arizona State University (multiple campuses: Cochise, Lake Havasu, Pima, Phoenix Downtown, West)</w:t>
            </w:r>
          </w:p>
        </w:tc>
        <w:tc>
          <w:tcPr/>
          <w:p>
            <w:pPr>
              <w:pStyle w:val="Compact"/>
              <w:jc w:val="left"/>
            </w:pPr>
            <w:r>
              <w:t xml:space="preserve">4-year, Public</w:t>
            </w:r>
          </w:p>
        </w:tc>
        <w:tc>
          <w:tcPr/>
          <w:p>
            <w:pPr>
              <w:pStyle w:val="Compact"/>
              <w:jc w:val="left"/>
            </w:pPr>
            <w:r>
              <w:t xml:space="preserve">None</w:t>
            </w:r>
          </w:p>
        </w:tc>
        <w:tc>
          <w:tcPr/>
          <w:p>
            <w:pPr>
              <w:pStyle w:val="Compact"/>
              <w:jc w:val="left"/>
            </w:pPr>
            <w:r>
              <w:t xml:space="preserve">Partial; application-based movement courses are required in sports science and performance programming major</w:t>
            </w:r>
          </w:p>
        </w:tc>
        <w:tc>
          <w:tcPr/>
          <w:p>
            <w:pPr>
              <w:pStyle w:val="Compact"/>
              <w:jc w:val="left"/>
            </w:pPr>
            <w:r>
              <w:t xml:space="preserve">HPE 179 Lifelong Wellness (Cochise); An Exploration of Well-being, Introduction to health and wellness, optimizing health and performance (Lake Havasu); Self-care for personal wellness, FSS 154 - Healthy Living and Mind-Body Training (Pima); Exercise and wellness seminar, health promotion (Phoenix Downtown); foundations of health and fitness, health and wellness, health promotion, sustainable wellness (Polytechnic); foundations of health and fitness (West); Required for College of Health Solutions majors-Optimizing your health and human performance OR an exploration of well-being</w:t>
            </w:r>
          </w:p>
        </w:tc>
        <w:tc>
          <w:tcPr/>
          <w:p>
            <w:pPr>
              <w:pStyle w:val="Compact"/>
              <w:jc w:val="left"/>
            </w:pPr>
            <w:r>
              <w:t xml:space="preserve">Yes</w:t>
            </w:r>
          </w:p>
        </w:tc>
      </w:tr>
      <w:tr>
        <w:tc>
          <w:tcPr/>
          <w:p>
            <w:pPr>
              <w:pStyle w:val="Compact"/>
              <w:jc w:val="left"/>
            </w:pPr>
            <w:r>
              <w:t xml:space="preserve">Arizona Western College</w:t>
            </w:r>
          </w:p>
        </w:tc>
        <w:tc>
          <w:tcPr/>
          <w:p>
            <w:pPr>
              <w:pStyle w:val="Compact"/>
              <w:jc w:val="left"/>
            </w:pPr>
            <w:r>
              <w:t xml:space="preserve">4-year, Public</w:t>
            </w:r>
          </w:p>
        </w:tc>
        <w:tc>
          <w:tcPr/>
          <w:p>
            <w:pPr>
              <w:pStyle w:val="Compact"/>
              <w:jc w:val="left"/>
            </w:pPr>
            <w:r>
              <w:t xml:space="preserve">None</w:t>
            </w:r>
          </w:p>
        </w:tc>
        <w:tc>
          <w:tcPr/>
          <w:p>
            <w:pPr>
              <w:pStyle w:val="Compact"/>
              <w:jc w:val="left"/>
            </w:pPr>
            <w:r>
              <w:t xml:space="preserve">Partial; application-based movement courses are required in sports science and performance programming major</w:t>
            </w:r>
          </w:p>
        </w:tc>
        <w:tc>
          <w:tcPr/>
          <w:p>
            <w:pPr>
              <w:pStyle w:val="Compact"/>
              <w:jc w:val="left"/>
            </w:pPr>
            <w:r>
              <w:t xml:space="preserve">Health and Wellness; Healthy Living</w:t>
            </w:r>
          </w:p>
        </w:tc>
        <w:tc>
          <w:tcPr/>
          <w:p>
            <w:pPr>
              <w:pStyle w:val="Compact"/>
              <w:jc w:val="left"/>
            </w:pPr>
            <w:r>
              <w:t xml:space="preserve">Yes</w:t>
            </w:r>
          </w:p>
        </w:tc>
      </w:tr>
      <w:tr>
        <w:tc>
          <w:tcPr/>
          <w:p>
            <w:pPr>
              <w:pStyle w:val="Compact"/>
              <w:jc w:val="left"/>
            </w:pPr>
            <w:r>
              <w:t xml:space="preserve">Central Arizona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w:t>
            </w:r>
          </w:p>
        </w:tc>
        <w:tc>
          <w:tcPr/>
          <w:p>
            <w:pPr>
              <w:pStyle w:val="Compact"/>
              <w:jc w:val="left"/>
            </w:pPr>
            <w:r>
              <w:t xml:space="preserve">HES 100 can be taken as social and behavioral science course in Arizona general education curriculum</w:t>
            </w:r>
          </w:p>
        </w:tc>
        <w:tc>
          <w:tcPr/>
          <w:p>
            <w:pPr>
              <w:pStyle w:val="Compact"/>
              <w:jc w:val="left"/>
            </w:pPr>
            <w:r>
              <w:t xml:space="preserve">Yes</w:t>
            </w:r>
          </w:p>
        </w:tc>
      </w:tr>
      <w:tr>
        <w:tc>
          <w:tcPr/>
          <w:p>
            <w:pPr>
              <w:pStyle w:val="Compact"/>
              <w:jc w:val="left"/>
            </w:pPr>
            <w:r>
              <w:t xml:space="preserve">Chandler-Gilbert Community College*</w:t>
            </w:r>
          </w:p>
        </w:tc>
        <w:tc>
          <w:tcPr/>
          <w:p>
            <w:pPr>
              <w:pStyle w:val="Compact"/>
              <w:jc w:val="left"/>
            </w:pPr>
            <w:r>
              <w:t xml:space="preserve">2-year, Public</w:t>
            </w:r>
          </w:p>
        </w:tc>
        <w:tc>
          <w:tcPr/>
          <w:p>
            <w:pPr>
              <w:pStyle w:val="Compact"/>
              <w:jc w:val="left"/>
            </w:pPr>
            <w:r>
              <w:t xml:space="preserve">Only for PT certificate, Exercise Science AAS</w:t>
            </w:r>
          </w:p>
        </w:tc>
        <w:tc>
          <w:tcPr/>
          <w:p>
            <w:pPr>
              <w:pStyle w:val="Compact"/>
              <w:jc w:val="left"/>
            </w:pPr>
            <w:r>
              <w:t xml:space="preserve">Partial; HES 100 can be taken as social and behavioral science course in Arizona general education curriculum; required for Exercise Science AAS</w:t>
            </w:r>
          </w:p>
        </w:tc>
        <w:tc>
          <w:tcPr/>
          <w:p>
            <w:pPr>
              <w:pStyle w:val="Compact"/>
              <w:jc w:val="left"/>
            </w:pPr>
            <w:r>
              <w:t xml:space="preserve">HES100 Healthful Living</w:t>
            </w:r>
          </w:p>
        </w:tc>
        <w:tc>
          <w:tcPr/>
          <w:p>
            <w:pPr>
              <w:pStyle w:val="Compact"/>
              <w:jc w:val="left"/>
            </w:pPr>
            <w:r>
              <w:t xml:space="preserve">Yes</w:t>
            </w:r>
          </w:p>
        </w:tc>
      </w:tr>
      <w:tr>
        <w:tc>
          <w:tcPr/>
          <w:p>
            <w:pPr>
              <w:pStyle w:val="Compact"/>
              <w:jc w:val="left"/>
            </w:pPr>
            <w:r>
              <w:t xml:space="preserve">Cochise County Community College District</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Lifelong Wellness</w:t>
            </w:r>
          </w:p>
        </w:tc>
        <w:tc>
          <w:tcPr/>
          <w:p>
            <w:pPr>
              <w:pStyle w:val="Compact"/>
              <w:jc w:val="left"/>
            </w:pPr>
            <w:r>
              <w:t xml:space="preserve">Yes</w:t>
            </w:r>
          </w:p>
        </w:tc>
      </w:tr>
      <w:tr>
        <w:tc>
          <w:tcPr/>
          <w:p>
            <w:pPr>
              <w:pStyle w:val="Compact"/>
              <w:jc w:val="left"/>
            </w:pPr>
            <w:r>
              <w:t xml:space="preserve">Coconino Community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w:t>
            </w:r>
          </w:p>
        </w:tc>
      </w:tr>
      <w:tr>
        <w:tc>
          <w:tcPr/>
          <w:p>
            <w:pPr>
              <w:pStyle w:val="Compact"/>
              <w:jc w:val="left"/>
            </w:pPr>
            <w:r>
              <w:t xml:space="preserve">Dine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Yes</w:t>
            </w:r>
          </w:p>
        </w:tc>
      </w:tr>
      <w:tr>
        <w:tc>
          <w:tcPr/>
          <w:p>
            <w:pPr>
              <w:pStyle w:val="Compact"/>
              <w:jc w:val="left"/>
            </w:pPr>
            <w:r>
              <w:t xml:space="preserve">Eastern Arizona College</w:t>
            </w:r>
          </w:p>
        </w:tc>
        <w:tc>
          <w:tcPr/>
          <w:p>
            <w:pPr>
              <w:pStyle w:val="Compact"/>
              <w:jc w:val="left"/>
            </w:pPr>
            <w:r>
              <w:t xml:space="preserve">2-year, Public</w:t>
            </w:r>
          </w:p>
        </w:tc>
        <w:tc>
          <w:tcPr/>
          <w:p>
            <w:pPr>
              <w:pStyle w:val="Compact"/>
              <w:jc w:val="left"/>
            </w:pPr>
            <w:r>
              <w:t xml:space="preserve">Partial; offered for general education credit for Associate of Applied Science (2 credit max, dance included)</w:t>
            </w:r>
          </w:p>
        </w:tc>
        <w:tc>
          <w:tcPr/>
          <w:p>
            <w:pPr>
              <w:pStyle w:val="Compact"/>
              <w:jc w:val="left"/>
            </w:pPr>
            <w:r>
              <w:t xml:space="preserve">Partial; offered as an option under Social Sciences which is a requirement for AAS degrees (6-9 credits)</w:t>
            </w:r>
          </w:p>
        </w:tc>
        <w:tc>
          <w:tcPr/>
          <w:p>
            <w:pPr>
              <w:pStyle w:val="Compact"/>
              <w:jc w:val="left"/>
            </w:pPr>
            <w:r>
              <w:t xml:space="preserve">HHP 100 Personal Health (N.B., meets Diversity and Inclusion requirements)</w:t>
            </w:r>
          </w:p>
        </w:tc>
        <w:tc>
          <w:tcPr/>
          <w:p>
            <w:pPr>
              <w:pStyle w:val="Compact"/>
              <w:jc w:val="left"/>
            </w:pPr>
            <w:r>
              <w:t xml:space="preserve">Yes</w:t>
            </w:r>
          </w:p>
        </w:tc>
      </w:tr>
      <w:tr>
        <w:tc>
          <w:tcPr/>
          <w:p>
            <w:pPr>
              <w:pStyle w:val="Compact"/>
              <w:jc w:val="left"/>
            </w:pPr>
            <w:r>
              <w:t xml:space="preserve">Embry-Riddle Aeronautical University—Prescott</w:t>
            </w:r>
          </w:p>
        </w:tc>
        <w:tc>
          <w:tcPr/>
          <w:p>
            <w:pPr>
              <w:pStyle w:val="Compact"/>
              <w:jc w:val="left"/>
            </w:pPr>
            <w:r>
              <w:t xml:space="preserve">4-year, Private not-for-profit</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Yes</w:t>
            </w:r>
          </w:p>
        </w:tc>
      </w:tr>
      <w:tr>
        <w:tc>
          <w:tcPr/>
          <w:p>
            <w:pPr>
              <w:pStyle w:val="Compact"/>
              <w:jc w:val="left"/>
            </w:pPr>
            <w:r>
              <w:t xml:space="preserve">Estrella Mountain Community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Fitness for Life, Weight Training for Wellness</w:t>
            </w:r>
          </w:p>
        </w:tc>
        <w:tc>
          <w:tcPr/>
          <w:p>
            <w:pPr>
              <w:pStyle w:val="Compact"/>
              <w:jc w:val="left"/>
            </w:pPr>
            <w:r>
              <w:t xml:space="preserve">Yes</w:t>
            </w:r>
          </w:p>
        </w:tc>
      </w:tr>
      <w:tr>
        <w:tc>
          <w:tcPr/>
          <w:p>
            <w:pPr>
              <w:pStyle w:val="Compact"/>
              <w:jc w:val="left"/>
            </w:pPr>
            <w:r>
              <w:t xml:space="preserve">GateWay Community College (multiple campuses)*</w:t>
            </w:r>
          </w:p>
        </w:tc>
        <w:tc>
          <w:tcPr/>
          <w:p>
            <w:pPr>
              <w:pStyle w:val="Compact"/>
              <w:jc w:val="left"/>
            </w:pPr>
            <w:r>
              <w:t xml:space="preserve">2-year, Public</w:t>
            </w:r>
          </w:p>
        </w:tc>
        <w:tc>
          <w:tcPr/>
          <w:p>
            <w:pPr>
              <w:pStyle w:val="Compact"/>
              <w:jc w:val="left"/>
            </w:pPr>
            <w:r>
              <w:t xml:space="preserve">Partial; option to take courses in recreation for social science credit. Also exercise science can count towards literacy and critical inquiry requirement</w:t>
            </w:r>
          </w:p>
        </w:tc>
        <w:tc>
          <w:tcPr/>
          <w:p>
            <w:pPr>
              <w:pStyle w:val="Compact"/>
              <w:jc w:val="left"/>
            </w:pPr>
            <w:r>
              <w:t xml:space="preserve">Partial; Principles of Physical Fitness and Wellness can be taken as Social-Behavioral Science course in Gen Ed requirements</w:t>
            </w:r>
          </w:p>
        </w:tc>
        <w:tc>
          <w:tcPr/>
          <w:p>
            <w:pPr>
              <w:pStyle w:val="Compact"/>
              <w:jc w:val="left"/>
            </w:pPr>
            <w:r>
              <w:t xml:space="preserve">HES100 Healthful Living, lifetime fitness, leisure and the quality of life, Principles of physical fitness and wellness, meditation and wellness Principles of Physical Fitness and Wellness</w:t>
            </w:r>
          </w:p>
        </w:tc>
        <w:tc>
          <w:tcPr/>
          <w:p>
            <w:pPr>
              <w:pStyle w:val="Compact"/>
              <w:jc w:val="left"/>
            </w:pPr>
            <w:r>
              <w:t xml:space="preserve">No</w:t>
            </w:r>
          </w:p>
        </w:tc>
      </w:tr>
      <w:tr>
        <w:tc>
          <w:tcPr/>
          <w:p>
            <w:pPr>
              <w:pStyle w:val="Compact"/>
              <w:jc w:val="left"/>
            </w:pPr>
            <w:r>
              <w:t xml:space="preserve">Glendale Community College*</w:t>
            </w:r>
          </w:p>
        </w:tc>
        <w:tc>
          <w:tcPr/>
          <w:p>
            <w:pPr>
              <w:pStyle w:val="Compact"/>
              <w:jc w:val="left"/>
            </w:pPr>
            <w:r>
              <w:t xml:space="preserve">2-year, Public</w:t>
            </w:r>
          </w:p>
        </w:tc>
        <w:tc>
          <w:tcPr/>
          <w:p>
            <w:pPr>
              <w:pStyle w:val="Compact"/>
              <w:jc w:val="left"/>
            </w:pPr>
            <w:r>
              <w:t xml:space="preserve">Partial; required in AAS in Exercise Science: Health, Fitness, and Sports Performance; Personal Training Certificate requires strength training; Personal Training: Advanced requires strength training and another activity course</w:t>
            </w:r>
          </w:p>
        </w:tc>
        <w:tc>
          <w:tcPr/>
          <w:p>
            <w:pPr>
              <w:pStyle w:val="Compact"/>
              <w:jc w:val="left"/>
            </w:pPr>
            <w:r>
              <w:t xml:space="preserve">AGEC Pathway SB</w:t>
            </w:r>
          </w:p>
        </w:tc>
        <w:tc>
          <w:tcPr/>
          <w:p>
            <w:pPr>
              <w:pStyle w:val="Compact"/>
              <w:jc w:val="left"/>
            </w:pPr>
            <w:r>
              <w:t xml:space="preserve">Healthful Living</w:t>
            </w:r>
          </w:p>
        </w:tc>
        <w:tc>
          <w:tcPr/>
          <w:p>
            <w:pPr>
              <w:pStyle w:val="Compact"/>
              <w:jc w:val="left"/>
            </w:pPr>
            <w:r>
              <w:t xml:space="preserve">Yes</w:t>
            </w:r>
          </w:p>
        </w:tc>
      </w:tr>
      <w:tr>
        <w:tc>
          <w:tcPr/>
          <w:p>
            <w:pPr>
              <w:pStyle w:val="Compact"/>
              <w:jc w:val="left"/>
            </w:pPr>
            <w:r>
              <w:t xml:space="preserve">Mesa Community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Healthful Living</w:t>
            </w:r>
          </w:p>
        </w:tc>
        <w:tc>
          <w:tcPr/>
          <w:p>
            <w:pPr>
              <w:pStyle w:val="Compact"/>
              <w:jc w:val="left"/>
            </w:pPr>
            <w:r>
              <w:t xml:space="preserve">Yes</w:t>
            </w:r>
          </w:p>
        </w:tc>
      </w:tr>
      <w:tr>
        <w:tc>
          <w:tcPr/>
          <w:p>
            <w:pPr>
              <w:pStyle w:val="Compact"/>
              <w:jc w:val="left"/>
            </w:pPr>
            <w:r>
              <w:t xml:space="preserve">Midwestern University—Glendale</w:t>
            </w:r>
          </w:p>
        </w:tc>
        <w:tc>
          <w:tcPr/>
          <w:p>
            <w:pPr>
              <w:pStyle w:val="Compact"/>
              <w:jc w:val="left"/>
            </w:pPr>
            <w:r>
              <w:t xml:space="preserve">4-year, Private not-for-profit</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Yes</w:t>
            </w:r>
          </w:p>
        </w:tc>
      </w:tr>
      <w:tr>
        <w:tc>
          <w:tcPr/>
          <w:p>
            <w:pPr>
              <w:pStyle w:val="Compact"/>
              <w:jc w:val="left"/>
            </w:pPr>
            <w:r>
              <w:t xml:space="preserve">Mohave Community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Yes</w:t>
            </w:r>
          </w:p>
        </w:tc>
      </w:tr>
      <w:tr>
        <w:tc>
          <w:tcPr/>
          <w:p>
            <w:pPr>
              <w:pStyle w:val="Compact"/>
              <w:jc w:val="left"/>
            </w:pPr>
            <w:r>
              <w:t xml:space="preserve">Northern Arizona University</w:t>
            </w:r>
          </w:p>
        </w:tc>
        <w:tc>
          <w:tcPr/>
          <w:p>
            <w:pPr>
              <w:pStyle w:val="Compact"/>
              <w:jc w:val="left"/>
            </w:pPr>
            <w:r>
              <w:t xml:space="preserve">4-year, Public</w:t>
            </w:r>
          </w:p>
        </w:tc>
        <w:tc>
          <w:tcPr/>
          <w:p>
            <w:pPr>
              <w:pStyle w:val="Compact"/>
              <w:jc w:val="left"/>
            </w:pPr>
            <w:r>
              <w:t xml:space="preserve">Partial; FIT 100 Physical Education P/F courses only count as general elective credits- all are listed as FIT 100 topics; required in health sciences - fitness wellness BS and health sciences - physical education</w:t>
            </w:r>
          </w:p>
        </w:tc>
        <w:tc>
          <w:tcPr/>
          <w:p>
            <w:pPr>
              <w:pStyle w:val="Compact"/>
              <w:jc w:val="left"/>
            </w:pPr>
            <w:r>
              <w:t xml:space="preserve">None</w:t>
            </w:r>
          </w:p>
        </w:tc>
        <w:tc>
          <w:tcPr/>
          <w:p>
            <w:pPr>
              <w:pStyle w:val="Compact"/>
              <w:jc w:val="left"/>
            </w:pPr>
            <w:r>
              <w:t xml:space="preserve">Facilitating Active Living, Mind-Body Health</w:t>
            </w:r>
          </w:p>
        </w:tc>
        <w:tc>
          <w:tcPr/>
          <w:p>
            <w:pPr>
              <w:pStyle w:val="Compact"/>
              <w:jc w:val="left"/>
            </w:pPr>
            <w:r>
              <w:t xml:space="preserve">Yes</w:t>
            </w:r>
          </w:p>
        </w:tc>
      </w:tr>
      <w:tr>
        <w:tc>
          <w:tcPr/>
          <w:p>
            <w:pPr>
              <w:pStyle w:val="Compact"/>
              <w:jc w:val="left"/>
            </w:pPr>
            <w:r>
              <w:t xml:space="preserve">Northland Pioneer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w:t>
            </w:r>
          </w:p>
        </w:tc>
      </w:tr>
      <w:tr>
        <w:tc>
          <w:tcPr/>
          <w:p>
            <w:pPr>
              <w:pStyle w:val="Compact"/>
              <w:jc w:val="left"/>
            </w:pPr>
            <w:r>
              <w:t xml:space="preserve">Ottawa University</w:t>
            </w:r>
          </w:p>
        </w:tc>
        <w:tc>
          <w:tcPr/>
          <w:p>
            <w:pPr>
              <w:pStyle w:val="Compact"/>
              <w:jc w:val="left"/>
            </w:pPr>
            <w:r>
              <w:t xml:space="preserve">4-year, Private not-for-profit</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Personal and Community Health</w:t>
            </w:r>
          </w:p>
        </w:tc>
        <w:tc>
          <w:tcPr/>
          <w:p>
            <w:pPr>
              <w:pStyle w:val="Compact"/>
              <w:jc w:val="left"/>
            </w:pPr>
            <w:r>
              <w:t xml:space="preserve">Yes</w:t>
            </w:r>
          </w:p>
        </w:tc>
      </w:tr>
      <w:tr>
        <w:tc>
          <w:tcPr/>
          <w:p>
            <w:pPr>
              <w:pStyle w:val="Compact"/>
              <w:jc w:val="left"/>
            </w:pPr>
            <w:r>
              <w:t xml:space="preserve">Paradise Valley Community College*</w:t>
            </w:r>
          </w:p>
        </w:tc>
        <w:tc>
          <w:tcPr/>
          <w:p>
            <w:pPr>
              <w:pStyle w:val="Compact"/>
              <w:jc w:val="left"/>
            </w:pPr>
            <w:r>
              <w:t xml:space="preserve">2-year, Public</w:t>
            </w:r>
          </w:p>
        </w:tc>
        <w:tc>
          <w:tcPr/>
          <w:p>
            <w:pPr>
              <w:pStyle w:val="Compact"/>
              <w:jc w:val="left"/>
            </w:pPr>
            <w:r>
              <w:t xml:space="preserve">Partial; strength training required for AA and personal training certificate</w:t>
            </w:r>
          </w:p>
        </w:tc>
        <w:tc>
          <w:tcPr/>
          <w:p>
            <w:pPr>
              <w:pStyle w:val="Compact"/>
              <w:jc w:val="left"/>
            </w:pPr>
            <w:r>
              <w:t xml:space="preserve">Partial; required for AA in Exercise Science</w:t>
            </w:r>
          </w:p>
        </w:tc>
        <w:tc>
          <w:tcPr/>
          <w:p>
            <w:pPr>
              <w:pStyle w:val="Compact"/>
              <w:jc w:val="left"/>
            </w:pPr>
            <w:r>
              <w:t xml:space="preserve">Healthful Living</w:t>
            </w:r>
          </w:p>
        </w:tc>
        <w:tc>
          <w:tcPr/>
          <w:p>
            <w:pPr>
              <w:pStyle w:val="Compact"/>
              <w:jc w:val="left"/>
            </w:pPr>
            <w:r>
              <w:t xml:space="preserve">Yes</w:t>
            </w:r>
          </w:p>
        </w:tc>
      </w:tr>
      <w:tr>
        <w:tc>
          <w:tcPr/>
          <w:p>
            <w:pPr>
              <w:pStyle w:val="Compact"/>
              <w:jc w:val="left"/>
            </w:pPr>
            <w:r>
              <w:t xml:space="preserve">Phoenix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Healthful Living</w:t>
            </w:r>
          </w:p>
        </w:tc>
        <w:tc>
          <w:tcPr/>
          <w:p>
            <w:pPr>
              <w:pStyle w:val="Compact"/>
              <w:jc w:val="left"/>
            </w:pPr>
            <w:r>
              <w:t xml:space="preserve">Yes</w:t>
            </w:r>
          </w:p>
        </w:tc>
      </w:tr>
      <w:tr>
        <w:tc>
          <w:tcPr/>
          <w:p>
            <w:pPr>
              <w:pStyle w:val="Compact"/>
              <w:jc w:val="left"/>
            </w:pPr>
            <w:r>
              <w:t xml:space="preserve">Pima Community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Partial; coursework required for fitness and wellness certificate program or fitness professional certificate.</w:t>
            </w:r>
          </w:p>
        </w:tc>
        <w:tc>
          <w:tcPr/>
          <w:p>
            <w:pPr>
              <w:pStyle w:val="Compact"/>
              <w:jc w:val="left"/>
            </w:pPr>
            <w:r>
              <w:t xml:space="preserve">Health, Wellness, and Physical Activity; Healthy Living and Mind-Body Training; Self Care for Personal Wellness</w:t>
            </w:r>
          </w:p>
        </w:tc>
        <w:tc>
          <w:tcPr/>
          <w:p>
            <w:pPr>
              <w:pStyle w:val="Compact"/>
              <w:jc w:val="left"/>
            </w:pPr>
            <w:r>
              <w:t xml:space="preserve">Yes</w:t>
            </w:r>
          </w:p>
        </w:tc>
      </w:tr>
      <w:tr>
        <w:tc>
          <w:tcPr/>
          <w:p>
            <w:pPr>
              <w:pStyle w:val="Compact"/>
              <w:jc w:val="left"/>
            </w:pPr>
            <w:r>
              <w:t xml:space="preserve">Prescott College</w:t>
            </w:r>
          </w:p>
        </w:tc>
        <w:tc>
          <w:tcPr/>
          <w:p>
            <w:pPr>
              <w:pStyle w:val="Compact"/>
              <w:jc w:val="left"/>
            </w:pPr>
            <w:r>
              <w:t xml:space="preserve">4-year, Private not-for-profit</w:t>
            </w:r>
          </w:p>
        </w:tc>
        <w:tc>
          <w:tcPr/>
          <w:p>
            <w:pPr>
              <w:pStyle w:val="Compact"/>
              <w:jc w:val="left"/>
            </w:pPr>
            <w:r>
              <w:t xml:space="preserve">None</w:t>
            </w:r>
          </w:p>
        </w:tc>
        <w:tc>
          <w:tcPr/>
          <w:p>
            <w:pPr>
              <w:pStyle w:val="Compact"/>
              <w:jc w:val="left"/>
            </w:pPr>
            <w:r>
              <w:t xml:space="preserve">Partial; Holistic Health and Wellness is under Human Dynamics and Interpersonal Literacies Distribution Area; required for holistic health and wellness emphasis</w:t>
            </w:r>
          </w:p>
        </w:tc>
        <w:tc>
          <w:tcPr/>
          <w:p>
            <w:pPr>
              <w:pStyle w:val="Compact"/>
              <w:jc w:val="left"/>
            </w:pPr>
            <w:r>
              <w:t xml:space="preserve">Yoga, Philosophy and Practice, Life Centering: Mindfulness and Mediation Courses, Holistic Health and Wellness</w:t>
            </w:r>
          </w:p>
        </w:tc>
        <w:tc>
          <w:tcPr/>
          <w:p>
            <w:pPr>
              <w:pStyle w:val="Compact"/>
              <w:jc w:val="left"/>
            </w:pPr>
            <w:r>
              <w:t xml:space="preserve">Yes; outdoor recreation</w:t>
            </w:r>
          </w:p>
        </w:tc>
      </w:tr>
      <w:tr>
        <w:tc>
          <w:tcPr/>
          <w:p>
            <w:pPr>
              <w:pStyle w:val="Compact"/>
              <w:jc w:val="left"/>
            </w:pPr>
            <w:r>
              <w:t xml:space="preserve">Rio Salado College*</w:t>
            </w:r>
          </w:p>
        </w:tc>
        <w:tc>
          <w:tcPr/>
          <w:p>
            <w:pPr>
              <w:pStyle w:val="Compact"/>
              <w:jc w:val="left"/>
            </w:pPr>
            <w:r>
              <w:t xml:space="preserve">2-year, Public; mostly online, but does have in-person courses in Tempe</w:t>
            </w:r>
          </w:p>
        </w:tc>
        <w:tc>
          <w:tcPr/>
          <w:p>
            <w:pPr>
              <w:pStyle w:val="Compact"/>
              <w:jc w:val="left"/>
            </w:pPr>
            <w:r>
              <w:t xml:space="preserve">None</w:t>
            </w:r>
          </w:p>
        </w:tc>
        <w:tc>
          <w:tcPr/>
          <w:p>
            <w:pPr>
              <w:pStyle w:val="Compact"/>
              <w:jc w:val="left"/>
            </w:pPr>
            <w:r>
              <w:t xml:space="preserve">Partial; can be taken for AGEC SB requirement</w:t>
            </w:r>
          </w:p>
        </w:tc>
        <w:tc>
          <w:tcPr/>
          <w:p>
            <w:pPr>
              <w:pStyle w:val="Compact"/>
              <w:jc w:val="left"/>
            </w:pPr>
            <w:r>
              <w:t xml:space="preserve">Healthful Living</w:t>
            </w:r>
          </w:p>
        </w:tc>
        <w:tc>
          <w:tcPr/>
          <w:p>
            <w:pPr>
              <w:pStyle w:val="Compact"/>
              <w:jc w:val="left"/>
            </w:pPr>
            <w:r>
              <w:t xml:space="preserve">No; but online recreational courses</w:t>
            </w:r>
          </w:p>
        </w:tc>
      </w:tr>
      <w:tr>
        <w:tc>
          <w:tcPr/>
          <w:p>
            <w:pPr>
              <w:pStyle w:val="Compact"/>
              <w:jc w:val="left"/>
            </w:pPr>
            <w:r>
              <w:t xml:space="preserve">Scottsdale Community College*</w:t>
            </w:r>
          </w:p>
        </w:tc>
        <w:tc>
          <w:tcPr/>
          <w:p>
            <w:pPr>
              <w:pStyle w:val="Compact"/>
              <w:jc w:val="left"/>
            </w:pPr>
            <w:r>
              <w:t xml:space="preserve">2-year, Public</w:t>
            </w:r>
          </w:p>
        </w:tc>
        <w:tc>
          <w:tcPr/>
          <w:p>
            <w:pPr>
              <w:pStyle w:val="Compact"/>
              <w:jc w:val="left"/>
            </w:pPr>
            <w:r>
              <w:t xml:space="preserve">Partial; strength training and PED 101 course of their choosing for exercise science; strength training required for personal training certificate as well as personal training: advanced certificate (which also requires a PED course)</w:t>
            </w:r>
          </w:p>
        </w:tc>
        <w:tc>
          <w:tcPr/>
          <w:p>
            <w:pPr>
              <w:pStyle w:val="Compact"/>
              <w:jc w:val="left"/>
            </w:pPr>
            <w:r>
              <w:t xml:space="preserve">Partial; HES 100 (Healthful living) is required for exercise science</w:t>
            </w:r>
          </w:p>
        </w:tc>
        <w:tc>
          <w:tcPr/>
          <w:p>
            <w:pPr>
              <w:pStyle w:val="Compact"/>
              <w:jc w:val="left"/>
            </w:pPr>
            <w:r>
              <w:t xml:space="preserve">Healthful Living, Wellness for law enforcement officers; health and wellness coaching in professional resiliency; fitness and wellness for firefighter candidates; personal wellness and safety; principles of physical fitness and wellness</w:t>
            </w:r>
          </w:p>
        </w:tc>
        <w:tc>
          <w:tcPr/>
          <w:p>
            <w:pPr>
              <w:pStyle w:val="Compact"/>
              <w:jc w:val="left"/>
            </w:pPr>
            <w:r>
              <w:t xml:space="preserve">Yes</w:t>
            </w:r>
          </w:p>
        </w:tc>
      </w:tr>
      <w:tr>
        <w:tc>
          <w:tcPr/>
          <w:p>
            <w:pPr>
              <w:pStyle w:val="Compact"/>
              <w:jc w:val="left"/>
            </w:pPr>
            <w:r>
              <w:t xml:space="preserve">South Mountain Community College*</w:t>
            </w:r>
          </w:p>
        </w:tc>
        <w:tc>
          <w:tcPr/>
          <w:p>
            <w:pPr>
              <w:pStyle w:val="Compact"/>
              <w:jc w:val="left"/>
            </w:pPr>
            <w:r>
              <w:t xml:space="preserve">2-year, Public</w:t>
            </w:r>
          </w:p>
        </w:tc>
        <w:tc>
          <w:tcPr/>
          <w:p>
            <w:pPr>
              <w:pStyle w:val="Compact"/>
              <w:jc w:val="left"/>
            </w:pPr>
            <w:r>
              <w:t xml:space="preserve">Partial; required for exercise science and personal trainer: advance</w:t>
            </w:r>
          </w:p>
        </w:tc>
        <w:tc>
          <w:tcPr/>
          <w:p>
            <w:pPr>
              <w:pStyle w:val="Compact"/>
              <w:jc w:val="left"/>
            </w:pPr>
            <w:r>
              <w:t xml:space="preserve">Partial; Healthful Living required for Exercise Science</w:t>
            </w:r>
          </w:p>
        </w:tc>
        <w:tc>
          <w:tcPr/>
          <w:p>
            <w:pPr>
              <w:pStyle w:val="Compact"/>
              <w:jc w:val="left"/>
            </w:pPr>
            <w:r>
              <w:t xml:space="preserve">Healthful living; Cultural Aspects of Health and Illness</w:t>
            </w:r>
          </w:p>
        </w:tc>
        <w:tc>
          <w:tcPr/>
          <w:p>
            <w:pPr>
              <w:pStyle w:val="Compact"/>
              <w:jc w:val="left"/>
            </w:pPr>
            <w:r>
              <w:t xml:space="preserve">Yes</w:t>
            </w:r>
          </w:p>
        </w:tc>
      </w:tr>
      <w:tr>
        <w:tc>
          <w:tcPr/>
          <w:p>
            <w:pPr>
              <w:pStyle w:val="Compact"/>
              <w:jc w:val="left"/>
            </w:pPr>
            <w:r>
              <w:t xml:space="preserve">Tohono O’odham Community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Personal Health and Wellness; Introduction to Community and Public Health; Health, Safety and Nutrition</w:t>
            </w:r>
          </w:p>
        </w:tc>
        <w:tc>
          <w:tcPr/>
          <w:p>
            <w:pPr>
              <w:pStyle w:val="Compact"/>
              <w:jc w:val="left"/>
            </w:pPr>
            <w:r>
              <w:t xml:space="preserve">No</w:t>
            </w:r>
          </w:p>
        </w:tc>
      </w:tr>
      <w:tr>
        <w:tc>
          <w:tcPr/>
          <w:p>
            <w:pPr>
              <w:pStyle w:val="Compact"/>
              <w:jc w:val="left"/>
            </w:pPr>
            <w:r>
              <w:t xml:space="preserve">University of Arizona</w:t>
            </w:r>
          </w:p>
        </w:tc>
        <w:tc>
          <w:tcPr/>
          <w:p>
            <w:pPr>
              <w:pStyle w:val="Compact"/>
              <w:jc w:val="left"/>
            </w:pPr>
            <w:r>
              <w:t xml:space="preserve">4-year, Public</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Public Health courses</w:t>
            </w:r>
          </w:p>
        </w:tc>
        <w:tc>
          <w:tcPr/>
          <w:p>
            <w:pPr>
              <w:pStyle w:val="Compact"/>
              <w:jc w:val="left"/>
            </w:pPr>
            <w:r>
              <w:t xml:space="preserve">Yes</w:t>
            </w:r>
          </w:p>
        </w:tc>
      </w:tr>
      <w:tr>
        <w:tc>
          <w:tcPr/>
          <w:p>
            <w:pPr>
              <w:pStyle w:val="Compact"/>
              <w:jc w:val="left"/>
            </w:pPr>
            <w:r>
              <w:t xml:space="preserve">Yavapai College</w:t>
            </w:r>
          </w:p>
        </w:tc>
        <w:tc>
          <w:tcPr/>
          <w:p>
            <w:pPr>
              <w:pStyle w:val="Compact"/>
              <w:jc w:val="left"/>
            </w:pPr>
            <w:r>
              <w:t xml:space="preserve">2-year, Public</w:t>
            </w:r>
          </w:p>
        </w:tc>
        <w:tc>
          <w:tcPr/>
          <w:p>
            <w:pPr>
              <w:pStyle w:val="Compact"/>
              <w:jc w:val="left"/>
            </w:pPr>
            <w:r>
              <w:t xml:space="preserve">None</w:t>
            </w:r>
          </w:p>
        </w:tc>
        <w:tc>
          <w:tcPr/>
          <w:p>
            <w:pPr>
              <w:pStyle w:val="Compact"/>
              <w:jc w:val="left"/>
            </w:pPr>
            <w:r>
              <w:t xml:space="preserve">Partial; Personal Health and Wellness can count for SBS</w:t>
            </w:r>
          </w:p>
        </w:tc>
        <w:tc>
          <w:tcPr/>
          <w:p>
            <w:pPr>
              <w:pStyle w:val="Compact"/>
              <w:jc w:val="left"/>
            </w:pPr>
            <w:r>
              <w:t xml:space="preserve">Personal Health and Wellness; Stress, Lifestyle and Health; Foundations of Mind-Body Exercise</w:t>
            </w:r>
          </w:p>
        </w:tc>
        <w:tc>
          <w:tcPr/>
          <w:p>
            <w:pPr>
              <w:pStyle w:val="Compact"/>
              <w:jc w:val="left"/>
            </w:pPr>
            <w:r>
              <w:t xml:space="preserve">Yes</w:t>
            </w:r>
          </w:p>
        </w:tc>
      </w:tr>
    </w:tbl>
    <w:bookmarkEnd w:id="72"/>
    <w:p>
      <w:pPr>
        <w:pStyle w:val="FigureNote"/>
      </w:pPr>
      <w:r>
        <w:rPr>
          <w:iCs/>
          <w:i/>
        </w:rPr>
        <w:t xml:space="preserve">Note</w:t>
      </w:r>
      <w:r>
        <w:t xml:space="preserve">. This is a note below the markdown table.</w:t>
      </w:r>
    </w:p>
    <w:p>
      <w:pPr>
        <w:pStyle w:val="BodyText"/>
      </w:pPr>
      <w:r>
        <w:t xml:space="preserve">Describe Measure A.</w:t>
      </w:r>
    </w:p>
    <w:bookmarkEnd w:id="73"/>
    <w:bookmarkStart w:id="74"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4"/>
    <w:bookmarkEnd w:id="75"/>
    <w:bookmarkStart w:id="76" w:name="procedure"/>
    <w:p>
      <w:pPr>
        <w:pStyle w:val="Heading2"/>
      </w:pPr>
      <w:r>
        <w:t xml:space="preserve">Procedure</w:t>
      </w:r>
    </w:p>
    <w:p>
      <w:pPr>
        <w:pStyle w:val="FirstParagraph"/>
      </w:pPr>
      <w:r>
        <w:t xml:space="preserve">What did participants do? How are the data going to be analyzed?</w:t>
      </w:r>
    </w:p>
    <w:bookmarkEnd w:id="76"/>
    <w:bookmarkEnd w:id="77"/>
    <w:bookmarkStart w:id="79" w:name="results"/>
    <w:p>
      <w:pPr>
        <w:pStyle w:val="Heading1"/>
      </w:pPr>
      <w:r>
        <w:t xml:space="preserve">Results</w:t>
      </w:r>
    </w:p>
    <w:bookmarkStart w:id="78"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78"/>
    <w:bookmarkEnd w:id="79"/>
    <w:bookmarkStart w:id="82" w:name="discussion"/>
    <w:p>
      <w:pPr>
        <w:pStyle w:val="Heading1"/>
      </w:pPr>
      <w:r>
        <w:t xml:space="preserve">Discussion</w:t>
      </w:r>
    </w:p>
    <w:p>
      <w:pPr>
        <w:pStyle w:val="FirstParagraph"/>
      </w:pPr>
      <w:r>
        <w:t xml:space="preserve">Describe results in non-statistical terms.</w:t>
      </w:r>
      <w:r>
        <w:t xml:space="preserve"> </w:t>
      </w:r>
    </w:p>
    <w:bookmarkStart w:id="80"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80"/>
    <w:bookmarkStart w:id="81" w:name="conclusion"/>
    <w:p>
      <w:pPr>
        <w:pStyle w:val="Heading2"/>
      </w:pPr>
      <w:r>
        <w:t xml:space="preserve">Conclusion</w:t>
      </w:r>
    </w:p>
    <w:p>
      <w:pPr>
        <w:pStyle w:val="FirstParagraph"/>
      </w:pPr>
      <w:r>
        <w:t xml:space="preserve">Describe the main point of the paper.</w:t>
      </w:r>
    </w:p>
    <w:bookmarkEnd w:id="81"/>
    <w:bookmarkEnd w:id="82"/>
    <w:bookmarkStart w:id="89" w:name="references"/>
    <w:p>
      <w:pPr>
        <w:pStyle w:val="Heading1"/>
      </w:pPr>
      <w:r>
        <w:t xml:space="preserve">References</w:t>
      </w:r>
    </w:p>
    <w:bookmarkStart w:id="88" w:name="refs"/>
    <w:bookmarkStart w:id="83" w:name="ref-austenMansfieldPark1990"/>
    <w:p>
      <w:pPr>
        <w:pStyle w:val="Bibliography"/>
      </w:pPr>
      <w:r>
        <w:t xml:space="preserve">Austen, J. (1990).</w:t>
      </w:r>
      <w:r>
        <w:t xml:space="preserve"> </w:t>
      </w:r>
      <w:r>
        <w:rPr>
          <w:iCs/>
          <w:i/>
        </w:rPr>
        <w:t xml:space="preserve">Mansfield</w:t>
      </w:r>
      <w:r>
        <w:rPr>
          <w:iCs/>
          <w:i/>
        </w:rPr>
        <w:t xml:space="preserve"> </w:t>
      </w:r>
      <w:r>
        <w:rPr>
          <w:iCs/>
          <w:i/>
        </w:rPr>
        <w:t xml:space="preserve">P</w:t>
      </w:r>
      <w:r>
        <w:rPr>
          <w:iCs/>
          <w:i/>
        </w:rPr>
        <w:t xml:space="preserve">ark</w:t>
      </w:r>
      <w:r>
        <w:t xml:space="preserve">. Oxford University Press. (Original work published 1814)</w:t>
      </w:r>
    </w:p>
    <w:bookmarkEnd w:id="83"/>
    <w:bookmarkStart w:id="84" w:name="ref-brownHowKilledPluto2012"/>
    <w:p>
      <w:pPr>
        <w:pStyle w:val="Bibliography"/>
      </w:pPr>
      <w:r>
        <w:t xml:space="preserve">Brown, M. (2012).</w:t>
      </w:r>
      <w:r>
        <w:t xml:space="preserve"> </w:t>
      </w:r>
      <w:r>
        <w:rPr>
          <w:iCs/>
          <w:i/>
        </w:rPr>
        <w:t xml:space="preserve">How</w:t>
      </w:r>
      <w:r>
        <w:rPr>
          <w:iCs/>
          <w:i/>
        </w:rPr>
        <w:t xml:space="preserve"> </w:t>
      </w:r>
      <w:r>
        <w:rPr>
          <w:iCs/>
          <w:i/>
        </w:rPr>
        <w:t xml:space="preserve">I</w:t>
      </w:r>
      <w:r>
        <w:rPr>
          <w:iCs/>
          <w:i/>
        </w:rPr>
        <w:t xml:space="preserve"> </w:t>
      </w:r>
      <w:r>
        <w:rPr>
          <w:iCs/>
          <w:i/>
        </w:rPr>
        <w:t xml:space="preserve">killed</w:t>
      </w:r>
      <w:r>
        <w:rPr>
          <w:iCs/>
          <w:i/>
        </w:rPr>
        <w:t xml:space="preserve"> </w:t>
      </w:r>
      <w:r>
        <w:rPr>
          <w:iCs/>
          <w:i/>
        </w:rPr>
        <w:t xml:space="preserve">Pluto</w:t>
      </w:r>
      <w:r>
        <w:rPr>
          <w:iCs/>
          <w:i/>
        </w:rPr>
        <w:t xml:space="preserve"> </w:t>
      </w:r>
      <w:r>
        <w:rPr>
          <w:iCs/>
          <w:i/>
        </w:rPr>
        <w:t xml:space="preserve">and why it had it coming</w:t>
      </w:r>
      <w:r>
        <w:t xml:space="preserve">. Spiegel &amp; Grau.</w:t>
      </w:r>
    </w:p>
    <w:bookmarkEnd w:id="84"/>
    <w:bookmarkStart w:id="86"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85">
        <w:r>
          <w:rPr>
            <w:rStyle w:val="Hyperlink"/>
          </w:rPr>
          <w:t xml:space="preserve">https://doi.org/10.1017/CBO9781139013567</w:t>
        </w:r>
      </w:hyperlink>
    </w:p>
    <w:bookmarkEnd w:id="86"/>
    <w:bookmarkStart w:id="87" w:name="ref-schneider2012cattell"/>
    <w:p>
      <w:pPr>
        <w:pStyle w:val="Bibliography"/>
      </w:pPr>
      <w:r>
        <w:t xml:space="preserve">Schneider, W. J., &amp; McGrew, K. S. (2012).</w:t>
      </w:r>
      <w:r>
        <w:t xml:space="preserve"> </w:t>
      </w:r>
      <w:r>
        <w:rPr>
          <w:iCs/>
          <w:i/>
        </w:rPr>
        <w:t xml:space="preserve">The</w:t>
      </w:r>
      <w:r>
        <w:rPr>
          <w:iCs/>
          <w:i/>
        </w:rPr>
        <w:t xml:space="preserve"> </w:t>
      </w:r>
      <w:r>
        <w:rPr>
          <w:iCs/>
          <w:i/>
        </w:rPr>
        <w:t xml:space="preserve">Cattell-Horn-Carroll</w:t>
      </w:r>
      <w:r>
        <w:rPr>
          <w:iCs/>
          <w:i/>
        </w:rPr>
        <w:t xml:space="preserve"> </w:t>
      </w:r>
      <w:r>
        <w:rPr>
          <w:iCs/>
          <w:i/>
        </w:rPr>
        <w:t xml:space="preserve">model of intelligence.</w:t>
      </w:r>
    </w:p>
    <w:bookmarkEnd w:id="87"/>
    <w:bookmarkEnd w:id="88"/>
    <w:p>
      <w:r>
        <w:br w:type="page"/>
      </w:r>
    </w:p>
    <w:bookmarkEnd w:id="89"/>
    <w:bookmarkStart w:id="90" w:name="appendix"/>
    <w:p>
      <w:pPr>
        <w:pStyle w:val="Heading1"/>
      </w:pPr>
      <w:r>
        <w:t xml:space="preserve">Appendix</w:t>
      </w:r>
    </w:p>
    <w:bookmarkEnd w:id="90"/>
    <w:bookmarkStart w:id="94"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w:t>
      </w:r>
      <w:r>
        <w:t xml:space="preserve">A</w:t>
      </w:r>
      <w:r>
        <w:t xml:space="preserve">”</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w:t>
      </w:r>
      <w:r>
        <w:t xml:space="preserve">B</w:t>
      </w:r>
      <w:r>
        <w:t xml:space="preserve">”</w:t>
      </w:r>
      <w:r>
        <w:t xml:space="preserve">, and the numbering starts again at 1. Make as many appendices as needed.</w:t>
      </w:r>
    </w:p>
    <w:bookmarkStart w:id="93"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91" name="Picture"/>
            <a:graphic>
              <a:graphicData uri="http://schemas.openxmlformats.org/drawingml/2006/picture">
                <pic:pic>
                  <pic:nvPicPr>
                    <pic:cNvPr descr="sampleimage.png" id="92"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bookmarkEnd w:id="93"/>
    <w:p>
      <w:pPr>
        <w:pStyle w:val="FigureNote"/>
      </w:pPr>
      <w:r>
        <w:rPr>
          <w:iCs/>
          <w:i/>
        </w:rPr>
        <w:t xml:space="preserve">Note</w:t>
      </w:r>
      <w:r>
        <w:t xml:space="preserve">. A note below the figure</w:t>
      </w:r>
    </w:p>
    <w:bookmarkEnd w:id="9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8" Target="media/rId3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69"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85" Target="https://doi.org/10.1017/CBO9781139013567" TargetMode="External" /><Relationship Type="http://schemas.openxmlformats.org/officeDocument/2006/relationships/hyperlink" Id="rId60"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3" Target="https://wjschne.github.io/apaquarto/writing.html#masked-citations-for-anonymous-peer-review" TargetMode="External" /><Relationship Type="http://schemas.openxmlformats.org/officeDocument/2006/relationships/hyperlink" Id="rId61"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69"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85" Target="https://doi.org/10.1017/CBO9781139013567" TargetMode="External" /><Relationship Type="http://schemas.openxmlformats.org/officeDocument/2006/relationships/hyperlink" Id="rId60"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3" Target="https://wjschne.github.io/apaquarto/writing.html#masked-citations-for-anonymous-peer-review" TargetMode="External" /><Relationship Type="http://schemas.openxmlformats.org/officeDocument/2006/relationships/hyperlink" Id="rId61"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2024-05-22T20:25:55Z</dcterms:created>
  <dcterms:modified xsi:type="dcterms:W3CDTF">2024-05-22T20:25:55Z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asked-citations">
    <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TEMPLATE FOR THE APAQUARTO EXTENSION</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