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30.png" ContentType="image/png"/>
  <Override PartName="/word/media/rId52.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3732b39d8f80c21ee4a6a9c09366883fba5f08"/>
    <w:p>
      <w:pPr>
        <w:pStyle w:val="Heading1"/>
      </w:pPr>
      <w:r>
        <w:t xml:space="preserve">Collecting Concurrent Validity, Expert-Rater Agreement, and Inter/Intra-Rater Reliability for the ANONYMIZED</w:t>
      </w:r>
    </w:p>
    <w:p>
      <w:pPr>
        <w:pStyle w:val="FirstParagraph"/>
      </w:pPr>
    </w:p>
    <w:p>
      <w:pPr>
        <w:pStyle w:val="Author"/>
      </w:pPr>
      <w:r>
        <w:t xml:space="preserve">Ana Fulana</w:t>
      </w:r>
      <w:r>
        <w:rPr>
          <w:vertAlign w:val="superscript"/>
        </w:rPr>
        <w:t xml:space="preserve">1</w:t>
      </w:r>
      <w:r>
        <w:t xml:space="preserve">, Blanca Zutana</w:t>
      </w:r>
      <w:r>
        <w:rPr>
          <w:vertAlign w:val="superscript"/>
        </w:rPr>
        <w:t xml:space="preserve">1</w:t>
      </w:r>
      <w:r>
        <w:t xml:space="preserve">, Carina Mengana</w:t>
      </w:r>
      <w:r>
        <w:rPr>
          <w:vertAlign w:val="superscript"/>
        </w:rPr>
        <w:t xml:space="preserve">2,3</w:t>
      </w:r>
      <w:r>
        <w:t xml:space="preserve">, and Dolorita Perengana</w:t>
      </w:r>
      <w:r>
        <w:rPr>
          <w:vertAlign w:val="superscript"/>
        </w:rPr>
        <w:t xml:space="preserve">4</w:t>
      </w:r>
    </w:p>
    <w:p>
      <w:pPr>
        <w:pStyle w:val="Author"/>
      </w:pPr>
      <w:r>
        <w:rPr>
          <w:vertAlign w:val="superscript"/>
        </w:rPr>
        <w:t xml:space="preserve">1</w:t>
      </w:r>
      <w:r>
        <w:t xml:space="preserve">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p>
    <w:bookmarkEnd w:id="20"/>
    <w:bookmarkStart w:id="28" w:name="author-note"/>
    <w:p>
      <w:pPr>
        <w:pStyle w:val="Heading1"/>
      </w:pPr>
      <w:r>
        <w:t xml:space="preserve">Author Note</w:t>
      </w:r>
    </w:p>
    <w:p>
      <w:pPr>
        <w:pStyle w:val="AuthorNote"/>
      </w:pPr>
      <w:r>
        <w:t xml:space="preserve">Ana Fulana</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https://orcid.org/0000-0000-0000-0000</w:t>
      </w:r>
    </w:p>
    <w:p>
      <w:pPr>
        <w:pStyle w:val="AuthorNote"/>
      </w:pPr>
      <w:r>
        <w:t xml:space="preserve">Carina Mengana</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https://orcid.org/0000-0000-0000-0001</w:t>
      </w:r>
    </w:p>
    <w:p>
      <w:pPr>
        <w:pStyle w:val="AuthorNote"/>
      </w:pPr>
      <w:r>
        <w:t xml:space="preserve">Dolorita Perengana</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https://orcid.org/0000-0000-0000-0003</w:t>
      </w:r>
    </w:p>
    <w:p>
      <w:pPr>
        <w:pStyle w:val="AuthorNote"/>
      </w:pPr>
      <w:r>
        <w:t xml:space="preserve">Ana Fulana is now at X University. Carina Mengana is deceased.</w:t>
      </w:r>
    </w:p>
    <w:p>
      <w:pPr>
        <w:pStyle w:val="AuthorNote"/>
      </w:pPr>
      <w:r>
        <w:t xml:space="preserve">This article is based on data published in Pulaski (2017).</w:t>
      </w:r>
    </w:p>
    <w:p>
      <w:pPr>
        <w:pStyle w:val="AuthorNote"/>
      </w:pPr>
      <w:r>
        <w:t xml:space="preserve">Author roles were classified using the Contributor Role Taxonomy (CRediT; https://credit.niso.org/) as follows:</w:t>
      </w:r>
      <w:r>
        <w:t xml:space="preserve"> </w:t>
      </w:r>
      <w:r>
        <w:rPr>
          <w:iCs/>
          <w:i/>
        </w:rPr>
        <w:t xml:space="preserve">Ana Fulana</w:t>
      </w:r>
      <w:r>
        <w:t xml:space="preserve">: Conceptualization and Writing - original draft;</w:t>
      </w:r>
      <w:r>
        <w:t xml:space="preserve"> </w:t>
      </w:r>
      <w:r>
        <w:rPr>
          <w:iCs/>
          <w:i/>
        </w:rPr>
        <w:t xml:space="preserve">Blanca Zutana</w:t>
      </w:r>
      <w:r>
        <w:t xml:space="preserve">: Project administration;</w:t>
      </w:r>
      <w:r>
        <w:t xml:space="preserve"> </w:t>
      </w:r>
      <w:r>
        <w:rPr>
          <w:iCs/>
          <w:i/>
        </w:rPr>
        <w:t xml:space="preserve">Carina Mengana</w:t>
      </w:r>
      <w:r>
        <w:t xml:space="preserve">: Formal Analysis;</w:t>
      </w:r>
      <w:r>
        <w:t xml:space="preserve"> </w:t>
      </w:r>
      <w:r>
        <w:rPr>
          <w:iCs/>
          <w:i/>
        </w:rPr>
        <w:t xml:space="preserve">Dolorita Perengana</w:t>
      </w:r>
      <w:r>
        <w:t xml:space="preserve">: Writing - review &amp; editing, Methodology, and Formal Analysis</w:t>
      </w:r>
    </w:p>
    <w:p>
      <w:pPr>
        <w:pStyle w:val="AuthorNote"/>
      </w:pPr>
      <w:r>
        <w:t xml:space="preserve">Correspondence concerning this article should be addressed to Ana Fulana, Department of Psychology, Ana and Blanca’s University, 1234 Capital St., Albany, NY 12084-1234, Email: sm@example.org</w:t>
      </w:r>
    </w:p>
    <w:bookmarkEnd w:id="28"/>
    <w:p>
      <w:r>
        <w:br w:type="page"/>
      </w:r>
    </w:p>
    <w:bookmarkStart w:id="29" w:name="abstract"/>
    <w:p>
      <w:pPr>
        <w:pStyle w:val="Heading1"/>
      </w:pPr>
      <w:r>
        <w:t xml:space="preserve">Abstract</w:t>
      </w:r>
    </w:p>
    <w:p>
      <w:pPr>
        <w:pStyle w:val="Abstract"/>
      </w:pPr>
      <w:r>
        <w:t xml:space="preserve">Fundamental movement skills (FMS) are considered the building blocks for developing specialized sports skills. In addition, fundamental movement skill competency has been linked to decreased levels of obesity and increased levels of physical activity/sports participation. Thus, assessing FMS development is crucial. This study aimed to collect evidence for concurrent validity, expert-rater agreement, and inter/intra-rater reliability for the ANONYMIZED. Participants were 34 children ages 5-10 years and 5 raters. Partial Pearson correlations comparing the scores of both tests indicate a moderate to strong correlation for locomotion (rxy.z =.52, p &lt; .01), object manipulation (rxy.z =.59, p &lt; .001), and total scores (rxy.z =.63, p &lt; .001). The expert-rater agreement was assessed by comparing the live scores of five raters with those of an expert. Inter-rater reliability was assessed by comparing the scores across the five raters. Intra- rater reliability was assessed by comparing each rater’s live and video scores. Weighted kappa scores ranged from .51 to .83, .50 to .89, and .60 to .87 for expert-rater agreement and inter and intra-rater reliability, respectively. These results provide further validity and reliability evidence for the FG-COMPASSANONYMIZED. Further studies involving children with different ethnic backgrounds and larger sample size are recommended. ADD LIMITATIONS HERE.</w:t>
      </w:r>
    </w:p>
    <w:p>
      <w:pPr>
        <w:pStyle w:val="Abstract"/>
      </w:pPr>
      <w:r>
        <w:rPr>
          <w:iCs/>
          <w:i/>
        </w:rPr>
        <w:t xml:space="preserve">Keywords</w:t>
      </w:r>
      <w:r>
        <w:t xml:space="preserve">: Assessment, Fundamental Movement Skills, Children, Movement Competence</w:t>
      </w:r>
    </w:p>
    <w:bookmarkEnd w:id="29"/>
    <w:p>
      <w:r>
        <w:br w:type="page"/>
      </w:r>
    </w:p>
    <w:bookmarkStart w:id="39" w:name="X9fcf00e43b32bbe6a6b1cce8c4e6f91200f5b92"/>
    <w:p>
      <w:pPr>
        <w:pStyle w:val="Heading1"/>
      </w:pPr>
      <w:r>
        <w:t xml:space="preserve">Collecting Concurrent Validity, Expert-Rater Agreement, and Inter/Intra-Rater Reliability for the ANONYMIZED</w:t>
      </w:r>
    </w:p>
    <w:p>
      <w:pPr>
        <w:pStyle w:val="FirstParagraph"/>
      </w:pPr>
      <w:r>
        <w:t xml:space="preserve">It is crucial for young children to master fundamental movement skills, which can have both positive and negative impacts on their development and lifestyle. Competence in motor skills plays a significant role in their ability to participate in physical activities (Castelli &amp; Valley, 2007). Engaging in physical activities is positively correlated with fundamental movement skills (FMS), particularly when the activities involve moderate to vigorous exertion (Bellows, Davies, Anderson, &amp; Kennedy, 2013; Carroll &amp; Loumidis, 2001; Fisher et al., 2005; Lemos, Avigo, &amp; Barela, 2012; McKenzie et al., 2002) and negatively associated with obesity (Bayer, Bolte, Morlock, Ruckinger, &amp; von Kries, 2009; Graf et al., 2004; Lopes, Stodden, Bianchi, Maia, &amp; Rodrigues, 2012). Studies have shown that children who lack motor skill proficiency are less physically active (Fisher et al., 2005; McKenzie et al., 2002) and are more likely to be overweight or obese (Cliff et al., 2012).</w:t>
      </w:r>
    </w:p>
    <w:p>
      <w:pPr>
        <w:pStyle w:val="BodyText"/>
      </w:pPr>
      <w:r>
        <w:t xml:space="preserve">Thus, assessing the development of fundamental movement skills (FMS) is crucial for preschool and elementary school children. However, it has been noticed that gross motor skills are often ignored in childhood education. Ulrich (2000) points out that assessment tools can help detect delays and ensure children receive the necessary support and guidance. If not addressed early, delays in motor skill development may hinder future gross motor skill development (Ulrich, 2000), and likely impact the acquisition of specialized skills (Gabbard, 2012). According to Provost, Crowe, and McClain (2000), a developmental delay is defined as a 25% or greater difference between the child’s actual age and their developmental age. If a motor delay is detected early, practitioners, parents, and educators can implement strategies to help the child to catch up.</w:t>
      </w:r>
    </w:p>
    <w:p>
      <w:pPr>
        <w:pStyle w:val="BodyText"/>
      </w:pPr>
      <w:r>
        <w:t xml:space="preserve">There are several instruments designed to assess and evaluate the development of fundamental movement skills. In general, these instruments are not designed to be administered in a live setting by a single practitioner. Often, test administrators are required to film skill performances and later code/rate the videos. Therefore, a more practical assessment tool would allow professionals to perform live assessments without the need to videotape performances. Recently, Furtado (2012) proposed a decision-tree method for assessing the skill level of a live FMS performance. A decision-tree is a decision hierarchical model that uses a tree-like method of decisions and potential consequences, leading to a final decision This approach has traditionally being used in computer science and more recently in machine-learning, but can also be used in the behavioral sciences for making decisions based on empirical data</w:t>
      </w:r>
      <w:r>
        <w:t xml:space="preserve"> </w:t>
      </w:r>
      <w:r>
        <w:t xml:space="preserve">(Von Winterfeldt &amp; Edwards, 1986)</w:t>
      </w:r>
      <w:r>
        <w:t xml:space="preserve">.</w:t>
      </w:r>
    </w:p>
    <w:p>
      <w:pPr>
        <w:pStyle w:val="BodyText"/>
      </w:pPr>
      <w:r>
        <w:t xml:space="preserve">In the case of FMS, the empirical data are derived from validated or hypothesized developmental sequences from various motor skills</w:t>
      </w:r>
      <w:r>
        <w:t xml:space="preserve"> </w:t>
      </w:r>
      <w:r>
        <w:t xml:space="preserve">(Halverson &amp; Williams, 1985; Painter, 1994; Roberton &amp; Halverson, 1988; Strohmeyer et al., 1991)</w:t>
      </w:r>
      <w:r>
        <w:t xml:space="preserve">. Following these studies, performance criteria are proposed for the motor skill under investigation. An example of a decision-tree created for the skill of overhand throw is depicted in Figure 1. The flowchart is comprised of a) decision nodes (questions) b) chance nodes (Yes or No), and c) end nodes (levels). Although several performance criteria can be proposed for a skill, only three are selected to form the decision-tree of a skill based on the method suggested by Furtado (2012). These performance criteria are then turned into questions which are the decision nodes of the decision-tree. In Figure 1, the top decision node contains a discriminatory question. It’s purpose is to differentiate between levels 1 and 4 (end nodes). If the chance node is YES, the decision path is moved to the left and the observer is presented with a confirmatory question, which is meant to verify if a performer is at level 4 (chance node is YES) regarding proficiency of the skill of overhand throw. If the decision-tree fails to confirm a level 4 (chance node is NO), then the performer is assessed as level 3. The same applies to the right side of the decision-tree, except that the purpose is to confirm whether the performer is at level 1.</w:t>
      </w:r>
    </w:p>
    <w:p>
      <w:pPr>
        <w:pStyle w:val="BodyText"/>
      </w:pPr>
      <w:r>
        <w:drawing>
          <wp:inline>
            <wp:extent cx="5419725" cy="4041375"/>
            <wp:effectExtent b="0" l="0" r="0" t="0"/>
            <wp:docPr descr="" title="" id="31" name="Picture"/>
            <a:graphic>
              <a:graphicData uri="http://schemas.openxmlformats.org/drawingml/2006/picture">
                <pic:pic>
                  <pic:nvPicPr>
                    <pic:cNvPr descr="images/dt-throw.png" id="32" name="Picture"/>
                    <pic:cNvPicPr>
                      <a:picLocks noChangeArrowheads="1" noChangeAspect="1"/>
                    </pic:cNvPicPr>
                  </pic:nvPicPr>
                  <pic:blipFill>
                    <a:blip r:embed="rId30"/>
                    <a:stretch>
                      <a:fillRect/>
                    </a:stretch>
                  </pic:blipFill>
                  <pic:spPr bwMode="auto">
                    <a:xfrm>
                      <a:off x="0" y="0"/>
                      <a:ext cx="5419725" cy="4041375"/>
                    </a:xfrm>
                    <a:prstGeom prst="rect">
                      <a:avLst/>
                    </a:prstGeom>
                    <a:noFill/>
                    <a:ln w="9525">
                      <a:noFill/>
                      <a:headEnd/>
                      <a:tailEnd/>
                    </a:ln>
                  </pic:spPr>
                </pic:pic>
              </a:graphicData>
            </a:graphic>
          </wp:inline>
        </w:drawing>
      </w:r>
    </w:p>
    <w:p>
      <w:pPr>
        <w:pStyle w:val="BodyText"/>
      </w:pPr>
      <w:r>
        <w:t xml:space="preserve">The decision-tree approach simplifies the process of assessing fundamental movement skill live performances as only two performance criteria are used when deciding the proficiency levels of performers.</w:t>
      </w:r>
    </w:p>
    <w:p>
      <w:pPr>
        <w:pStyle w:val="BodyText"/>
      </w:pPr>
      <w:r>
        <w:t xml:space="preserve">The development of an assessment tool involves several steps to confirm validity and reliability evidence of its scores. The FG-COMPASS is a criterion-related and process-oriented assessment tool developed for school settings. Content-related validity evidence and reliability of classification decisions for non-live observations (Furtado &amp; Gallagher, 2012) have been reported for the FG-COMPASS.</w:t>
      </w:r>
    </w:p>
    <w:p>
      <w:pPr>
        <w:pStyle w:val="BodyText"/>
      </w:pPr>
      <w:r>
        <w:t xml:space="preserve">The Test of Gross Motor Development (TGMD-2) is considered to be the gold standard for assessing FMS competency in children between the ages of 3 and 10 years (Ulrich, 2000) and was used as the criterion for the analysis of concurrent validity in this study. The TGMD-2 has two gross motor subcategories (locomotor and object control) and assesses 12 skills.</w:t>
      </w:r>
    </w:p>
    <w:p>
      <w:pPr>
        <w:pStyle w:val="BodyText"/>
      </w:pPr>
      <w:r>
        <w:t xml:space="preserve">The (ANONYMIZED) was developed to assess gross motor skill development in children between the ages of 5 and 10 years [source omitted] (Furtado, 2009). The ANONYMIZED is similar to the TGMD-2 in that it assesses locomotor and object manipulation fundamental gross motor skills. The ANONYMIZED is designed to be administered in a live setting by a single practitioner without the need for video recordings.</w:t>
      </w:r>
      <w:r>
        <w:t xml:space="preserve"> </w:t>
      </w:r>
    </w:p>
    <w:p>
      <w:pPr>
        <w:pStyle w:val="BodyText"/>
      </w:pPr>
      <w:r>
        <w:t xml:space="preserve">==== Perceived motor competence has been shown to have a positive relationship with proficiency in FMS in children and adolescents (Biddle &amp; Armstrong, 1992; Carroll &amp; Loumidis, 2001; Woods, Bolton, Graber, &amp; Crull, 2007). ====</w:t>
      </w:r>
    </w:p>
    <w:bookmarkStart w:id="33" w:name="Xe3ac48275d1d4f81d9ccca642a08029f064007f"/>
    <w:p>
      <w:pPr>
        <w:pStyle w:val="Heading2"/>
      </w:pPr>
      <w:r>
        <w:t xml:space="preserve">Level 2 Heading: Flush Left, Bold, Title Case</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a higher-level heading directly underneath if you want.</w:t>
      </w:r>
    </w:p>
    <w:bookmarkEnd w:id="33"/>
    <w:bookmarkStart w:id="36" w:name="a-level-2-heading-without-text-below-it"/>
    <w:p>
      <w:pPr>
        <w:pStyle w:val="Heading2"/>
      </w:pPr>
      <w:r>
        <w:t xml:space="preserve">A Level 2 Heading Without Text Below It</w:t>
      </w:r>
    </w:p>
    <w:bookmarkStart w:id="34" w:name="Xa55c8bfdf917f9c22b1abc6173877b638c556a7"/>
    <w:p>
      <w:pPr>
        <w:pStyle w:val="Heading3"/>
      </w:pPr>
      <w:r>
        <w:t xml:space="preserve">Level 3 Heading: Flush Left, Bold Italic, Title Case</w:t>
      </w:r>
    </w:p>
    <w:p>
      <w:pPr>
        <w:pStyle w:val="FirstParagraph"/>
      </w:pPr>
      <w:r>
        <w:t xml:space="preserve">Subsections of a level 2 heading are placed under level 3 headings.</w:t>
      </w:r>
    </w:p>
    <w:bookmarkEnd w:id="34"/>
    <w:bookmarkStart w:id="35" w:name="another-level-3-heading"/>
    <w:p>
      <w:pPr>
        <w:pStyle w:val="Heading3"/>
      </w:pPr>
      <w:r>
        <w:t xml:space="preserve">Another Level 3 Heading</w:t>
      </w:r>
    </w:p>
    <w:p>
      <w:pPr>
        <w:pStyle w:val="Heading4"/>
        <w:rPr>
          <w:vanish/>
          <w:specVanish/>
        </w:rPr>
      </w:pPr>
      <w:r>
        <w:t>Level 4 Heading.</w:t>
      </w:r>
      <w:r>
        <w:t xml:space="preserve"> </w:t>
      </w:r>
    </w:p>
    <w:p>
      <w:pPr>
        <w:pStyle w:val="FirstParagraph"/>
      </w:pPr>
      <w:r>
        <w:t xml:space="preserve">A level 4 heading should be indented, flush left, bold, title case, and end with a period. A paragraph after a level 4 or 5 heading is on a new line in this markdown document but will appear as if it were in the same paragraph when rendered.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w:t>
      </w:r>
      <w:r>
        <w:t xml:space="preserve"> </w:t>
      </w:r>
    </w:p>
    <w:p>
      <w:pPr>
        <w:pStyle w:val="BodyText"/>
      </w:pPr>
      <w:r>
        <w:t xml:space="preserve">A level 5 heading should be indented, flush left, bold italic, title case, and end with a period. Notice that there was no period after this level 5 heading in the markdown document, but it does appear in the rendered document.</w:t>
      </w:r>
    </w:p>
    <w:p>
      <w:pPr>
        <w:pStyle w:val="BodyText"/>
      </w:pPr>
      <w:r>
        <w:t xml:space="preserve">Subsequent paragraphs go on their own lines.</w:t>
      </w:r>
    </w:p>
    <w:bookmarkEnd w:id="35"/>
    <w:bookmarkEnd w:id="36"/>
    <w:bookmarkStart w:id="37"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w:t>
      </w:r>
      <w:r>
        <w:rPr>
          <w:bCs/>
          <w:b/>
        </w:rPr>
        <w:t xml:space="preserve">CameronTrivedi2013?</w:t>
      </w:r>
      <w:r>
        <w:t xml:space="preserve">)</w:t>
      </w:r>
      <w:r>
        <w:t xml:space="preserve">. This reference was in my bibliography file. 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w:t>
      </w:r>
      <w:r>
        <w:rPr>
          <w:bCs/>
          <w:b/>
        </w:rPr>
        <w:t xml:space="preserve">CameronTrivedi2013?</w:t>
      </w:r>
      <w:r>
        <w:t xml:space="preserve">)</w:t>
      </w:r>
    </w:p>
    <w:p>
      <w:pPr>
        <w:numPr>
          <w:ilvl w:val="0"/>
          <w:numId w:val="1001"/>
        </w:numPr>
      </w:pPr>
      <w:r>
        <w:t xml:space="preserve">Prefixes (with or without a comma) are placed before the reference:</w:t>
      </w:r>
      <w:r>
        <w:t xml:space="preserve"> </w:t>
      </w:r>
      <w:r>
        <w:t xml:space="preserve">(e.g.,</w:t>
      </w:r>
      <w:r>
        <w:t xml:space="preserve"> </w:t>
      </w:r>
      <w:r>
        <w:rPr>
          <w:bCs/>
          <w:b/>
        </w:rPr>
        <w:t xml:space="preserve">CameronTrivedi2013?</w:t>
      </w:r>
      <w:r>
        <w:t xml:space="preserve">)</w:t>
      </w:r>
    </w:p>
    <w:p>
      <w:pPr>
        <w:numPr>
          <w:ilvl w:val="0"/>
          <w:numId w:val="1001"/>
        </w:numPr>
      </w:pPr>
      <w:r>
        <w:t xml:space="preserve">2 or more citations separated by a semicolon</w:t>
      </w:r>
      <w:r>
        <w:t xml:space="preserve"> </w:t>
      </w:r>
      <w:r>
        <w:t xml:space="preserve">(</w:t>
      </w:r>
      <w:r>
        <w:rPr>
          <w:bCs/>
          <w:b/>
        </w:rPr>
        <w:t xml:space="preserve">CameronTrivedi2013?</w:t>
      </w:r>
      <w:r>
        <w:t xml:space="preserve">;</w:t>
      </w:r>
      <w:r>
        <w:t xml:space="preserve"> </w:t>
      </w:r>
      <w:r>
        <w:rPr>
          <w:bCs/>
          <w:b/>
        </w:rPr>
        <w:t xml:space="preserve">cohen2003applied?</w:t>
      </w:r>
      <w:r>
        <w:t xml:space="preserve">)</w:t>
      </w:r>
    </w:p>
    <w:p>
      <w:pPr>
        <w:numPr>
          <w:ilvl w:val="0"/>
          <w:numId w:val="1001"/>
        </w:numPr>
      </w:pPr>
      <w:r>
        <w:t xml:space="preserve">Any prefixes or suffixes needing a literal semicolon will confuse Quarto (actually Pandoc). To make it clear that you need to print a semicolon, put a backslash before the semicolon: [FOIL;</w:t>
      </w:r>
      <w:r>
        <w:t xml:space="preserve"> </w:t>
      </w:r>
      <w:r>
        <w:t xml:space="preserve">(</w:t>
      </w:r>
      <w:r>
        <w:rPr>
          <w:bCs/>
          <w:b/>
        </w:rPr>
        <w:t xml:space="preserve">CameronTrivedi2013?</w:t>
      </w:r>
      <w:r>
        <w:t xml:space="preserve">)</w:t>
      </w:r>
      <w:r>
        <w:t xml:space="preserve">]</w:t>
      </w:r>
    </w:p>
    <w:p>
      <w:pPr>
        <w:pStyle w:val="FirstParagraph"/>
      </w:pPr>
      <w:r>
        <w:t xml:space="preserve">Text references are possible, too.</w:t>
      </w:r>
    </w:p>
    <w:p>
      <w:pPr>
        <w:numPr>
          <w:ilvl w:val="0"/>
          <w:numId w:val="1002"/>
        </w:numPr>
      </w:pPr>
      <w:r>
        <w:t xml:space="preserve">(</w:t>
      </w:r>
      <w:r>
        <w:rPr>
          <w:bCs/>
          <w:b/>
        </w:rPr>
        <w:t xml:space="preserve">CameronTrivedi2013?</w:t>
      </w:r>
      <w:r>
        <w:t xml:space="preserve">)</w:t>
      </w:r>
      <w:r>
        <w:t xml:space="preserve"> </w:t>
      </w:r>
      <w:r>
        <w:t xml:space="preserve">said some interesting things.</w:t>
      </w:r>
    </w:p>
    <w:p>
      <w:pPr>
        <w:numPr>
          <w:ilvl w:val="0"/>
          <w:numId w:val="1002"/>
        </w:numPr>
      </w:pPr>
      <w:r>
        <w:t xml:space="preserve">(</w:t>
      </w:r>
      <w:r>
        <w:rPr>
          <w:bCs/>
          <w:b/>
        </w:rPr>
        <w:t xml:space="preserve">cohen2003applied?</w:t>
      </w:r>
      <w:r>
        <w:t xml:space="preserve">)</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w:t>
      </w:r>
      <w:r>
        <w:rPr>
          <w:bCs/>
          <w:b/>
        </w:rPr>
        <w:t xml:space="preserve">CameronTrivedi2013?</w:t>
      </w:r>
      <w:r>
        <w:t xml:space="preserve">)</w:t>
      </w:r>
    </w:p>
    <w:bookmarkEnd w:id="37"/>
    <w:bookmarkStart w:id="38"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38"/>
    <w:bookmarkEnd w:id="39"/>
    <w:bookmarkStart w:id="46"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40">
        <w:r>
          <w:rPr>
            <w:rStyle w:val="Hyperlink"/>
          </w:rPr>
          <w:t xml:space="preserve">Journal Article Reporting Standards</w:t>
        </w:r>
      </w:hyperlink>
      <w:r>
        <w:t xml:space="preserve"> </w:t>
      </w:r>
      <w:r>
        <w:t xml:space="preserve">for what is needed for your type of article.</w:t>
      </w:r>
    </w:p>
    <w:bookmarkStart w:id="41"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41"/>
    <w:bookmarkStart w:id="44"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42" w:name="measure-a"/>
    <w:p>
      <w:pPr>
        <w:pStyle w:val="Heading3"/>
      </w:pPr>
      <w:r>
        <w:t xml:space="preserve">Measure A</w:t>
      </w:r>
    </w:p>
    <w:p>
      <w:pPr>
        <w:pStyle w:val="FirstParagraph"/>
      </w:pPr>
      <w:r>
        <w:t xml:space="preserve">Describe Measure A.</w:t>
      </w:r>
    </w:p>
    <w:bookmarkEnd w:id="42"/>
    <w:bookmarkStart w:id="43" w:name="measure-b"/>
    <w:p>
      <w:pPr>
        <w:pStyle w:val="Heading3"/>
      </w:pPr>
      <w:r>
        <w:t xml:space="preserve">Measure B</w:t>
      </w:r>
    </w:p>
    <w:p>
      <w:pPr>
        <w:pStyle w:val="FirstParagraph"/>
      </w:pPr>
      <w:r>
        <w:t xml:space="preserve">Describe Measure B.</w:t>
      </w:r>
    </w:p>
    <w:bookmarkEnd w:id="43"/>
    <w:bookmarkEnd w:id="44"/>
    <w:bookmarkStart w:id="45" w:name="procedure"/>
    <w:p>
      <w:pPr>
        <w:pStyle w:val="Heading2"/>
      </w:pPr>
      <w:r>
        <w:t xml:space="preserve">Procedure</w:t>
      </w:r>
    </w:p>
    <w:p>
      <w:pPr>
        <w:pStyle w:val="FirstParagraph"/>
      </w:pPr>
      <w:r>
        <w:t xml:space="preserve">What did participants do?</w:t>
      </w:r>
    </w:p>
    <w:p>
      <w:pPr>
        <w:pStyle w:val="BodyText"/>
      </w:pPr>
      <w:r>
        <w:t xml:space="preserve">How are the data going to be analyzed?</w:t>
      </w:r>
    </w:p>
    <w:bookmarkEnd w:id="45"/>
    <w:bookmarkEnd w:id="46"/>
    <w:bookmarkStart w:id="57" w:name="results"/>
    <w:p>
      <w:pPr>
        <w:pStyle w:val="Heading1"/>
      </w:pPr>
      <w:r>
        <w:t xml:space="preserve">Results</w:t>
      </w:r>
    </w:p>
    <w:bookmarkStart w:id="56"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fig-</w:t>
      </w:r>
      <w:r>
        <w:t xml:space="preserve">.</w:t>
      </w:r>
    </w:p>
    <w:bookmarkStart w:id="47" w:name="apafg-myplot"/>
    <w:p>
      <w:pPr>
        <w:pStyle w:val="FigureTitle"/>
      </w:pPr>
      <w:r>
        <w:t xml:space="preserve">Figure 1</w:t>
      </w:r>
    </w:p>
    <w:bookmarkEnd w:id="47"/>
    <w:p>
      <w:pPr>
        <w:pStyle w:val="Caption"/>
      </w:pPr>
      <w:r>
        <w:t xml:space="preserve">This is the figure caption.</w:t>
      </w:r>
    </w:p>
    <w:p>
      <w:pPr>
        <w:pStyle w:val="FigureWithNote"/>
      </w:pPr>
      <w:r>
        <w:drawing>
          <wp:inline>
            <wp:extent cx="5943600" cy="5943600"/>
            <wp:effectExtent b="0" l="0" r="0" t="0"/>
            <wp:docPr descr="" title="" id="49" name="Picture"/>
            <a:graphic>
              <a:graphicData uri="http://schemas.openxmlformats.org/drawingml/2006/picture">
                <pic:pic>
                  <pic:nvPicPr>
                    <pic:cNvPr descr="woolever_files/figure-docx/apafg-myplot-1.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put the chunk label in curly braces. For example, see Figure 1. In Figure 2, we import an image.</w:t>
      </w:r>
    </w:p>
    <w:bookmarkStart w:id="51" w:name="apafg-importedgraphic"/>
    <w:p>
      <w:pPr>
        <w:pStyle w:val="FigureTitle"/>
      </w:pPr>
      <w:r>
        <w:t xml:space="preserve">Figure 2</w:t>
      </w:r>
    </w:p>
    <w:bookmarkEnd w:id="51"/>
    <w:p>
      <w:pPr>
        <w:pStyle w:val="Caption"/>
      </w:pPr>
      <w:r>
        <w:t xml:space="preserve">This is an imported graphic.</w:t>
      </w:r>
    </w:p>
    <w:p>
      <w:pPr>
        <w:pStyle w:val="FigureWithNote"/>
      </w:pPr>
      <w:r>
        <w:drawing>
          <wp:inline>
            <wp:extent cx="3251200" cy="3251200"/>
            <wp:effectExtent b="0" l="0" r="0" t="0"/>
            <wp:docPr descr="" title="" id="53" name="Picture"/>
            <a:graphic>
              <a:graphicData uri="http://schemas.openxmlformats.org/drawingml/2006/picture">
                <pic:pic>
                  <pic:nvPicPr>
                    <pic:cNvPr descr="orcid.png" id="54" name="Picture"/>
                    <pic:cNvPicPr>
                      <a:picLocks noChangeArrowheads="1" noChangeAspect="1"/>
                    </pic:cNvPicPr>
                  </pic:nvPicPr>
                  <pic:blipFill>
                    <a:blip r:embed="rId52"/>
                    <a:stretch>
                      <a:fillRect/>
                    </a:stretch>
                  </pic:blipFill>
                  <pic:spPr bwMode="auto">
                    <a:xfrm>
                      <a:off x="0" y="0"/>
                      <a:ext cx="3251200" cy="3251200"/>
                    </a:xfrm>
                    <a:prstGeom prst="rect">
                      <a:avLst/>
                    </a:prstGeom>
                    <a:noFill/>
                    <a:ln w="9525">
                      <a:noFill/>
                      <a:headEnd/>
                      <a:tailEnd/>
                    </a:ln>
                  </pic:spPr>
                </pic:pic>
              </a:graphicData>
            </a:graphic>
          </wp:inline>
        </w:drawing>
      </w:r>
    </w:p>
    <w:p>
      <w:pPr>
        <w:pStyle w:val="FigureNote"/>
      </w:pPr>
      <w:r>
        <w:rPr>
          <w:iCs/>
          <w:i/>
        </w:rPr>
        <w:t xml:space="preserve">Note</w:t>
      </w:r>
      <w:r>
        <w:t xml:space="preserve">. My note.</w:t>
      </w:r>
    </w:p>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55" w:name="apatb-mytable"/>
    <w:p>
      <w:pPr>
        <w:pStyle w:val="FigureTitle"/>
      </w:pPr>
      <w:r>
        <w:t xml:space="preserve">Table 1</w:t>
      </w:r>
    </w:p>
    <w:bookmarkEnd w:id="55"/>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6"/>
    <w:bookmarkEnd w:id="57"/>
    <w:bookmarkStart w:id="60" w:name="discussion"/>
    <w:p>
      <w:pPr>
        <w:pStyle w:val="Heading1"/>
      </w:pPr>
      <w:r>
        <w:t xml:space="preserve">Discussion</w:t>
      </w:r>
    </w:p>
    <w:p>
      <w:pPr>
        <w:pStyle w:val="FirstParagraph"/>
      </w:pPr>
      <w:r>
        <w:t xml:space="preserve">Describe results in non-statistical terms.</w:t>
      </w:r>
      <w:r>
        <w:t xml:space="preserve"> </w:t>
      </w:r>
    </w:p>
    <w:bookmarkStart w:id="58"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58"/>
    <w:bookmarkStart w:id="59" w:name="conclusion"/>
    <w:p>
      <w:pPr>
        <w:pStyle w:val="Heading2"/>
      </w:pPr>
      <w:r>
        <w:t xml:space="preserve">Conclusion</w:t>
      </w:r>
    </w:p>
    <w:p>
      <w:pPr>
        <w:pStyle w:val="FirstParagraph"/>
      </w:pPr>
      <w:r>
        <w:t xml:space="preserve">Let’s sum this up.</w:t>
      </w:r>
    </w:p>
    <w:bookmarkEnd w:id="59"/>
    <w:bookmarkEnd w:id="60"/>
    <w:bookmarkStart w:id="68" w:name="references"/>
    <w:p>
      <w:pPr>
        <w:pStyle w:val="Heading1"/>
      </w:pPr>
      <w:r>
        <w:t xml:space="preserve">References</w:t>
      </w:r>
    </w:p>
    <w:bookmarkStart w:id="67" w:name="refs"/>
    <w:bookmarkStart w:id="61" w:name="X2532cdaa24d09dc23bddc55dd44855ffb9ccd43"/>
    <w:p>
      <w:pPr>
        <w:pStyle w:val="Bibliography"/>
      </w:pPr>
      <w:r>
        <w:t xml:space="preserve">Halverson, L., &amp; Williams, K. (1985). Developmental</w:t>
      </w:r>
      <w:r>
        <w:t xml:space="preserve"> </w:t>
      </w:r>
      <w:r>
        <w:t xml:space="preserve">Sequences</w:t>
      </w:r>
      <w:r>
        <w:t xml:space="preserve"> </w:t>
      </w:r>
      <w:r>
        <w:t xml:space="preserve">for</w:t>
      </w:r>
      <w:r>
        <w:t xml:space="preserve"> </w:t>
      </w:r>
      <w:r>
        <w:t xml:space="preserve">Hopping Over Distance</w:t>
      </w:r>
      <w:r>
        <w:t xml:space="preserve">:</w:t>
      </w:r>
      <w:r>
        <w:t xml:space="preserve"> </w:t>
      </w:r>
      <w:r>
        <w:t xml:space="preserve">A Prelongitudinal Screening</w:t>
      </w:r>
      <w:r>
        <w:t xml:space="preserve">.</w:t>
      </w:r>
      <w:r>
        <w:t xml:space="preserve"> </w:t>
      </w:r>
      <w:r>
        <w:rPr>
          <w:iCs/>
          <w:i/>
        </w:rPr>
        <w:t xml:space="preserve">Research Quarterly for Exercise and Sport</w:t>
      </w:r>
      <w:r>
        <w:t xml:space="preserve">,</w:t>
      </w:r>
      <w:r>
        <w:t xml:space="preserve"> </w:t>
      </w:r>
      <w:r>
        <w:rPr>
          <w:iCs/>
          <w:i/>
        </w:rPr>
        <w:t xml:space="preserve">56</w:t>
      </w:r>
      <w:r>
        <w:t xml:space="preserve">(1), 37–44.</w:t>
      </w:r>
    </w:p>
    <w:bookmarkEnd w:id="61"/>
    <w:bookmarkStart w:id="62" w:name="X87cbbbb54f8748e8173eab0b19c3c5e0a9a2ae4"/>
    <w:p>
      <w:pPr>
        <w:pStyle w:val="Bibliography"/>
      </w:pPr>
      <w:r>
        <w:t xml:space="preserve">Painter, M. A. (1994). Developmental sequences for hopping as assessment instruments:</w:t>
      </w:r>
      <w:r>
        <w:t xml:space="preserve"> </w:t>
      </w:r>
      <w:r>
        <w:t xml:space="preserve">A</w:t>
      </w:r>
      <w:r>
        <w:t xml:space="preserve"> </w:t>
      </w:r>
      <w:r>
        <w:t xml:space="preserve">generalizability analysis.</w:t>
      </w:r>
      <w:r>
        <w:t xml:space="preserve"> </w:t>
      </w:r>
      <w:r>
        <w:rPr>
          <w:iCs/>
          <w:i/>
        </w:rPr>
        <w:t xml:space="preserve">Research Quarterly for Exercise &amp; Sport</w:t>
      </w:r>
      <w:r>
        <w:t xml:space="preserve">,</w:t>
      </w:r>
      <w:r>
        <w:t xml:space="preserve"> </w:t>
      </w:r>
      <w:r>
        <w:rPr>
          <w:iCs/>
          <w:i/>
        </w:rPr>
        <w:t xml:space="preserve">65</w:t>
      </w:r>
      <w:r>
        <w:t xml:space="preserve">(1), 1–10.</w:t>
      </w:r>
    </w:p>
    <w:bookmarkEnd w:id="62"/>
    <w:bookmarkStart w:id="64" w:name="X4967fbf83cb4f958c43dceb4b20443423cbb3b3"/>
    <w:p>
      <w:pPr>
        <w:pStyle w:val="Bibliography"/>
      </w:pPr>
      <w:r>
        <w:t xml:space="preserve">Roberton, M. A., &amp; Halverson, L. E. (1988). The development of locomotor coordination: Longitudinal change and invariance.</w:t>
      </w:r>
      <w:r>
        <w:t xml:space="preserve"> </w:t>
      </w:r>
      <w:r>
        <w:rPr>
          <w:iCs/>
          <w:i/>
        </w:rPr>
        <w:t xml:space="preserve">Journal of Motor Behavior</w:t>
      </w:r>
      <w:r>
        <w:t xml:space="preserve">,</w:t>
      </w:r>
      <w:r>
        <w:t xml:space="preserve"> </w:t>
      </w:r>
      <w:r>
        <w:rPr>
          <w:iCs/>
          <w:i/>
        </w:rPr>
        <w:t xml:space="preserve">20</w:t>
      </w:r>
      <w:r>
        <w:t xml:space="preserve">(3), 197–241.</w:t>
      </w:r>
      <w:r>
        <w:t xml:space="preserve"> </w:t>
      </w:r>
      <w:hyperlink r:id="rId63">
        <w:r>
          <w:rPr>
            <w:rStyle w:val="Hyperlink"/>
          </w:rPr>
          <w:t xml:space="preserve">http://www.ncbi.nlm.nih.gov/pubmed/15078621</w:t>
        </w:r>
      </w:hyperlink>
    </w:p>
    <w:bookmarkEnd w:id="64"/>
    <w:bookmarkStart w:id="65" w:name="Xa04ebe0798c9b978b30c1085b5f6fa7e26a496a"/>
    <w:p>
      <w:pPr>
        <w:pStyle w:val="Bibliography"/>
      </w:pPr>
      <w:r>
        <w:t xml:space="preserve">Strohmeyer, H. S., Williams, K., &amp; D, S.-G. (1991). Developmental sequences for catching a small ball: A prelongitudinal screening.</w:t>
      </w:r>
      <w:r>
        <w:t xml:space="preserve"> </w:t>
      </w:r>
      <w:r>
        <w:rPr>
          <w:iCs/>
          <w:i/>
        </w:rPr>
        <w:t xml:space="preserve">Research Quarterly for Exercise and Sport</w:t>
      </w:r>
      <w:r>
        <w:t xml:space="preserve">,</w:t>
      </w:r>
      <w:r>
        <w:t xml:space="preserve"> </w:t>
      </w:r>
      <w:r>
        <w:rPr>
          <w:iCs/>
          <w:i/>
        </w:rPr>
        <w:t xml:space="preserve">62</w:t>
      </w:r>
      <w:r>
        <w:t xml:space="preserve">(3), 257–266.</w:t>
      </w:r>
    </w:p>
    <w:bookmarkEnd w:id="65"/>
    <w:bookmarkStart w:id="66" w:name="X4b493016bc14a54243735e585e4b18d0ca80e5b"/>
    <w:p>
      <w:pPr>
        <w:pStyle w:val="Bibliography"/>
      </w:pPr>
      <w:r>
        <w:t xml:space="preserve">Von Winterfeldt, D., &amp; Edwards, W. (1986).</w:t>
      </w:r>
      <w:r>
        <w:t xml:space="preserve"> </w:t>
      </w:r>
      <w:r>
        <w:rPr>
          <w:iCs/>
          <w:i/>
        </w:rPr>
        <w:t xml:space="preserve">Decision analysis and behavioral research</w:t>
      </w:r>
      <w:r>
        <w:t xml:space="preserve">.</w:t>
      </w:r>
      <w:r>
        <w:t xml:space="preserve"> </w:t>
      </w:r>
      <w:r>
        <w:t xml:space="preserve">Cambridge University Press</w:t>
      </w:r>
      <w:r>
        <w:t xml:space="preserve">.</w:t>
      </w:r>
    </w:p>
    <w:bookmarkEnd w:id="66"/>
    <w:bookmarkEnd w:id="67"/>
    <w:p>
      <w:r>
        <w:br w:type="page"/>
      </w:r>
    </w:p>
    <w:bookmarkEnd w:id="68"/>
    <w:bookmarkStart w:id="69" w:name="appendix"/>
    <w:p>
      <w:pPr>
        <w:pStyle w:val="Heading1"/>
      </w:pPr>
      <w:r>
        <w:t xml:space="preserve">Appendix</w:t>
      </w:r>
    </w:p>
    <w:p>
      <w:pPr>
        <w:pStyle w:val="FirstParagraph"/>
      </w:pPr>
      <w:r>
        <w:t xml:space="preserve">If there are multiple appendices, label them with level 1 headings as Appendix A, Appendix B, and so forth.</w:t>
      </w:r>
    </w:p>
    <w:bookmarkEnd w:id="69"/>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TEMPLATE FOR THE APAQUARTO FORMAT</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30" Target="media/rId30.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hyperlink" Id="rId63" Target="http://www.ncbi.nlm.nih.gov/pubmed/15078621" TargetMode="External" /><Relationship Type="http://schemas.openxmlformats.org/officeDocument/2006/relationships/hyperlink" Id="rId40" Target="https://apastyle.apa.org/jars" TargetMode="External" /></Relationships>
</file>

<file path=word/_rels/footnotes.xml.rels><?xml version="1.0" encoding="UTF-8"?><Relationships xmlns="http://schemas.openxmlformats.org/package/2006/relationships"><Relationship Type="http://schemas.openxmlformats.org/officeDocument/2006/relationships/hyperlink" Id="rId63" Target="http://www.ncbi.nlm.nih.gov/pubmed/15078621" TargetMode="External" /><Relationship Type="http://schemas.openxmlformats.org/officeDocument/2006/relationships/hyperlink" Id="rId40" Target="https://apastyle.apa.org/ja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Assessment, Fundamental Movement Skills, Children, Movement Competence</cp:keywords>
  <dcterms:created xsi:type="dcterms:W3CDTF">2023-06-11T22:57:05Z</dcterms:created>
  <dcterms:modified xsi:type="dcterms:W3CDTF">2023-06-11T22:57:05Z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Template for the APAquarto Format</vt:lpwstr>
  </property>
  <property fmtid="{D5CDD505-2E9C-101B-9397-08002B2CF9AE}" pid="20" name="tbl-cap-location">
    <vt:lpwstr>top</vt:lpwstr>
  </property>
  <property fmtid="{D5CDD505-2E9C-101B-9397-08002B2CF9AE}" pid="21" name="toc-title">
    <vt:lpwstr>Table of contents</vt:lpwstr>
  </property>
</Properties>
</file>