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Setback Requirements</w:t>
      </w:r>
    </w:p>
    <w:p>
      <w:pPr>
        <w:pStyle w:val="BodyText"/>
      </w:pPr>
      <w:r>
        <w:t xml:space="preserve">All Agriculture developments shall be sufficiently set back from the road and common boundary. The setback distance is measured from the road reserve</w:t>
      </w:r>
      <w:r>
        <w:rPr>
          <w:vertAlign w:val="superscript"/>
        </w:rPr>
        <w:t xml:space="preserve">1</w:t>
      </w:r>
      <w:r>
        <w:t xml:space="preserve"> line or boundary line to the external wall of the agriculture building, excluding land to be vested to the State for road or drainage or public purpose.</w:t>
      </w:r>
      <w:r>
        <w:br/>
      </w:r>
      <w:r>
        <w:br/>
      </w:r>
      <w:r>
        <w:t xml:space="preserve">All Agriculture developments fronting a public road shall provide a road buffer, the width of which depends on the road category. The classification of the road category may be obtained from LTA's Road Interpretation Plan (RIP).</w:t>
      </w:r>
      <w:r>
        <w:t xml:space="preserve"> </w:t>
      </w:r>
      <w:r>
        <w:t xml:space="preserve">A green buffer shall be set aside in the road buffer depending on the width of the road buffer.</w:t>
      </w:r>
      <w:r>
        <w:br/>
      </w:r>
      <w:r>
        <w:br/>
      </w:r>
      <w:r>
        <w:t xml:space="preserve">The buffer requirements for the Road Categories 1 to 5 are in Table 1 below. The common boundary setback requirements are in Table 2 below.</w:t>
      </w:r>
      <w:r>
        <w:br/>
      </w:r>
      <w:r>
        <w:br/>
      </w:r>
      <w:r>
        <w:rPr>
          <w:b/>
          <w:bCs/>
          <w:vertAlign w:val="superscript"/>
        </w:rPr>
        <w:t xml:space="preserve">1</w:t>
      </w:r>
      <w:r>
        <w:rPr>
          <w:b/>
          <w:bCs/>
        </w:rPr>
        <w:t xml:space="preserve"> </w:t>
      </w:r>
      <w:r>
        <w:rPr>
          <w:b/>
          <w:b/>
          <w:bCs/>
          <w:bCs/>
        </w:rPr>
        <w:t xml:space="preserve">Road Reserve</w:t>
      </w:r>
      <w:r>
        <w:rPr>
          <w:b/>
          <w:bCs/>
        </w:rPr>
        <w:t xml:space="p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Road Buffer and Green Buffer</w:t>
      </w:r>
    </w:p>
    <w:bookmarkStart w:id="27"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Minimun Road Buffer</w:t>
            </w:r>
            <w:r>
              <w:br/>
            </w:r>
            <w:r>
              <w:rPr>
                <w:b/>
                <w:bCs/>
              </w:rPr>
              <w:t xml:space="preserve">(inclusive of Green Buffer indicated in brackets)</w:t>
            </w:r>
          </w:p>
        </w:tc>
      </w:tr>
      <w:tr>
        <w:tc>
          <w:tcPr/>
          <w:p>
            <w:pPr>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Category 4 &amp; 5</w:t>
            </w:r>
          </w:p>
        </w:tc>
        <w:tc>
          <w:tcPr/>
          <w:p>
            <w:pPr>
              <w:pStyle w:val="Compact"/>
              <w:jc w:val="center"/>
            </w:pPr>
            <w:r>
              <w:t xml:space="preserve">5m</w:t>
            </w:r>
            <w:r>
              <w:br/>
            </w:r>
            <w:r>
              <w:t xml:space="preserve">(3m)</w:t>
            </w:r>
          </w:p>
        </w:tc>
      </w:tr>
    </w:tbl>
    <w:p>
      <w:pPr>
        <w:pStyle w:val="BodyText"/>
      </w:pPr>
      <w:r>
        <w:br/>
      </w:r>
    </w:p>
    <w:bookmarkStart w:id="26" w:name="Table-11"/>
    <w:bookmarkEnd w:id="26"/>
    <w:bookmarkEnd w:id="27"/>
    <w:p>
      <w:pPr>
        <w:pStyle w:val="BodyText"/>
      </w:pPr>
      <w:hyperlink w:anchor="Table-2"/>
    </w:p>
    <w:p>
      <w:pPr>
        <w:pStyle w:val="BodyText"/>
      </w:pPr>
      <w:r>
        <w:t xml:space="preserve">Common Boundary Setback &amp; Planting Strip</w:t>
      </w:r>
    </w:p>
    <w:bookmarkStart w:id="29" w:name="Table-2"/>
    <w:p>
      <w:pPr>
        <w:pStyle w:val="BodyText"/>
      </w:pPr>
      <w:r>
        <w:rPr>
          <w:b/>
          <w:bCs/>
        </w:rPr>
        <w:t xml:space="preserve">Common Boundary Setback &amp; Planting Strip</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Building Setback Requirement</w:t>
            </w:r>
          </w:p>
        </w:tc>
      </w:tr>
      <w:tr>
        <w:tc>
          <w:tcPr/>
          <w:p>
            <w:pPr>
              <w:pStyle w:val="Compact"/>
              <w:jc w:val="center"/>
            </w:pPr>
            <w:r>
              <w:t xml:space="preserve">Along common boundaries with non-agriculture developments, drainage reserve and backlanes</w:t>
            </w:r>
          </w:p>
        </w:tc>
        <w:tc>
          <w:tcPr/>
          <w:p>
            <w:pPr>
              <w:pStyle w:val="Compact"/>
              <w:jc w:val="center"/>
            </w:pPr>
            <w:r>
              <w:t xml:space="preserve">4.5m (including 2m planting strip)</w:t>
            </w:r>
          </w:p>
        </w:tc>
      </w:tr>
      <w:tr>
        <w:tc>
          <w:tcPr/>
          <w:p>
            <w:pPr>
              <w:pStyle w:val="Compact"/>
              <w:jc w:val="center"/>
            </w:pPr>
            <w:r>
              <w:t xml:space="preserve"> </w:t>
            </w:r>
            <w:r>
              <w:t xml:space="preserve">Along common boundaries with other agriculture developments</w:t>
            </w:r>
          </w:p>
        </w:tc>
        <w:tc>
          <w:tcPr/>
          <w:p>
            <w:pPr>
              <w:pStyle w:val="Compact"/>
              <w:jc w:val="center"/>
            </w:pPr>
            <w:r>
              <w:t xml:space="preserve">2m (no planting strip required)</w:t>
            </w:r>
            <w:r>
              <w:t xml:space="preserve"> </w:t>
            </w:r>
          </w:p>
        </w:tc>
      </w:tr>
    </w:tbl>
    <w:bookmarkStart w:id="28" w:name="Table-21"/>
    <w:bookmarkEnd w:id="28"/>
    <w:bookmarkEnd w:id="29"/>
    <w:p>
      <w:pPr>
        <w:pStyle w:val="BodyText"/>
      </w:pPr>
      <w:hyperlink w:anchor="Building-Appendages"/>
    </w:p>
    <w:p>
      <w:pPr>
        <w:pStyle w:val="BodyText"/>
      </w:pPr>
      <w:r>
        <w:t xml:space="preserve">Setback for Building Appendages</w:t>
      </w:r>
    </w:p>
    <w:bookmarkStart w:id="31" w:name="Building-Appendages"/>
    <w:p>
      <w:pPr>
        <w:pStyle w:val="BodyText"/>
      </w:pPr>
      <w:r>
        <w:rPr>
          <w:b/>
          <w:bCs/>
        </w:rPr>
        <w:t xml:space="preserve">Setback for Building Appendages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Main building roof eaves</w:t>
            </w:r>
          </w:p>
        </w:tc>
        <w:tc>
          <w:tcPr>
            <w:vMerge w:val="restart"/>
          </w:tcPr>
          <w:p>
            <w:pPr>
              <w:pStyle w:val="Compact"/>
              <w:jc w:val="center"/>
            </w:pPr>
            <w:r>
              <w:t xml:space="preserve">Allowed, provided it is not within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Secondary building roof eaves &amp; RC ledges</w:t>
            </w:r>
            <w:r>
              <w:br/>
            </w:r>
            <w:r>
              <w:t xml:space="preserve">(cantilevered)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2024-05-23T00:51:40Z</dcterms:created>
  <dcterms:modified xsi:type="dcterms:W3CDTF">2024-05-23T00:51:40Z</dcterms:modified>
</cp:coreProperties>
</file>

<file path=docProps/custom.xml><?xml version="1.0" encoding="utf-8"?>
<Properties xmlns="http://schemas.openxmlformats.org/officeDocument/2006/custom-properties" xmlns:vt="http://schemas.openxmlformats.org/officeDocument/2006/docPropsVTypes"/>
</file>