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28"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r>
        <w:br/>
      </w:r>
      <w:r>
        <w:br/>
      </w: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r>
        <w:br/>
      </w:r>
      <w:r>
        <w:br/>
      </w:r>
      <w:r>
        <w:t xml:space="preserve">All earthworks (ie earth cut or earth fill) will require endorsement and clearances from the lessor, SFA, and PUB.</w:t>
      </w:r>
      <w:r>
        <w:br/>
      </w:r>
      <w:r>
        <w:br/>
      </w:r>
      <w:r>
        <w:t xml:space="preserve">Planning permission is required if earthworks cause the level of any point in the land to be more than 1.5 metres above the lower of the following:</w:t>
      </w:r>
    </w:p>
    <w:p>
      <w:pPr>
        <w:pStyle w:val="Compact"/>
        <w:numPr>
          <w:ilvl w:val="0"/>
          <w:numId w:val="1001"/>
        </w:numPr>
      </w:pPr>
      <w:r>
        <w:t xml:space="preserve">the level of that point in the land at the time when the land was leased or agreed to be leased by the State or statutory body; or</w:t>
      </w:r>
    </w:p>
    <w:p>
      <w:pPr>
        <w:pStyle w:val="Compact"/>
        <w:numPr>
          <w:ilvl w:val="0"/>
          <w:numId w:val="1001"/>
        </w:numPr>
      </w:pPr>
      <w:r>
        <w:t xml:space="preserve">the level of any point at the abutting edge of abutting land</w:t>
      </w:r>
    </w:p>
    <w:p>
      <w:pPr>
        <w:pStyle w:val="FirstParagraph"/>
      </w:pPr>
      <w:r>
        <w:t xml:space="preserve">Earthworks on a smaller scale than the above may qualify for the agriculture plan lodgment scheme. </w:t>
      </w:r>
      <w:r>
        <w:br/>
      </w:r>
      <w:r>
        <w:br/>
      </w:r>
      <w:r>
        <w:t xml:space="preserve">The digging of wells and ponds on agriculture land is authorised and do not require planning permission.</w:t>
      </w:r>
      <w:r>
        <w:br/>
      </w:r>
      <w:r>
        <w:br/>
      </w:r>
      <w:r>
        <w:t xml:space="preserve">Earthworks are generally not encouraged, except in the following circumstances:</w:t>
      </w:r>
    </w:p>
    <w:p>
      <w:pPr>
        <w:pStyle w:val="Compact"/>
        <w:numPr>
          <w:ilvl w:val="0"/>
          <w:numId w:val="1002"/>
        </w:numPr>
      </w:pPr>
      <w:r>
        <w:t xml:space="preserve">When the proposed earthworks are to match the existing platform levels of the neighbouring sites;</w:t>
      </w:r>
    </w:p>
    <w:p>
      <w:pPr>
        <w:pStyle w:val="Compact"/>
        <w:numPr>
          <w:ilvl w:val="0"/>
          <w:numId w:val="1002"/>
        </w:numPr>
      </w:pPr>
      <w:r>
        <w:t xml:space="preserve">When the sites are on undulating or sloping terrain, with large differences in platform levels within the site, or between the site and the road;</w:t>
      </w:r>
    </w:p>
    <w:bookmarkStart w:id="27" w:name="Table-31"/>
    <w:p>
      <w:pPr>
        <w:pStyle w:val="FirstParagraph"/>
      </w:pPr>
      <w:hyperlink w:anchor="Buildable-Area"/>
    </w:p>
    <w:bookmarkStart w:id="23" w:name="X1257ee5da4d954bfc747f8b154ae147dbfcde25"/>
    <w:p>
      <w:pPr>
        <w:pStyle w:val="Heading4"/>
      </w:pPr>
      <w:r>
        <w:t xml:space="preserve">Earthworks within the buildable area (ie outside the building setback area)</w:t>
      </w:r>
    </w:p>
    <w:bookmarkEnd w:id="23"/>
    <w:bookmarkStart w:id="24" w:name="Buildable-Area"/>
    <w:p>
      <w:pPr>
        <w:pStyle w:val="FirstParagraph"/>
      </w:pPr>
      <w:r>
        <w:t xml:space="preserve">Earthworks within the buildable area of more than 1.5m are subject to evaluation depending on merits.</w:t>
      </w:r>
    </w:p>
    <w:bookmarkEnd w:id="24"/>
    <w:p>
      <w:pPr>
        <w:pStyle w:val="BodyText"/>
      </w:pPr>
      <w:hyperlink w:anchor="Development-Site"/>
    </w:p>
    <w:bookmarkStart w:id="25" w:name="X7c1ed85c3af5cdff662f69661f5d2975806191c"/>
    <w:p>
      <w:pPr>
        <w:pStyle w:val="Heading4"/>
      </w:pPr>
      <w:r>
        <w:t xml:space="preserve">Earthworks within the entire development site</w:t>
      </w:r>
    </w:p>
    <w:bookmarkEnd w:id="25"/>
    <w:bookmarkStart w:id="26" w:name="Development-Site"/>
    <w:p>
      <w:pPr>
        <w:pStyle w:val="FirstParagraph"/>
      </w:pPr>
      <w:r>
        <w:t xml:space="preserve">Earthfill involving the entire development site may only be considered if the proposed earthworks are required to meet the technical requirements of PUB. Such earthfill may be allowed</w:t>
      </w:r>
      <w:r>
        <w:t xml:space="preserve"> </w:t>
      </w:r>
      <w:r>
        <w:t xml:space="preserve">up to PUB Minimum</w:t>
      </w:r>
      <w:r>
        <w:t xml:space="preserve"> </w:t>
      </w:r>
      <w:r>
        <w:t xml:space="preserve">Platform Level (MPL)</w:t>
      </w:r>
      <w:r>
        <w:rPr>
          <w:vertAlign w:val="superscript"/>
        </w:rPr>
        <w:t xml:space="preserve">1</w:t>
      </w:r>
      <w:r>
        <w:t xml:space="preserve"> .</w:t>
      </w:r>
    </w:p>
    <w:p>
      <w:pPr>
        <w:pStyle w:val="BodyText"/>
      </w:pPr>
      <w:r>
        <w:rPr>
          <w:vertAlign w:val="superscript"/>
        </w:rPr>
        <w:t xml:space="preserve">1</w:t>
      </w:r>
      <w:r>
        <w:rPr>
          <w:b/>
          <w:bCs/>
        </w:rPr>
        <w:t xml:space="preserve">Minimum Platform Level (MPL)</w:t>
      </w:r>
      <w:r>
        <w:t xml:space="preserve">: The minimum 1</w:t>
      </w:r>
      <w:r>
        <w:rPr>
          <w:vertAlign w:val="superscript"/>
        </w:rPr>
        <w:t xml:space="preserve">st</w:t>
      </w:r>
      <w:r>
        <w:t xml:space="preserve"> storey level to be provided within the site. The MPL is determined by the Public Utilities Board (PUB).</w:t>
      </w:r>
    </w:p>
    <w:bookmarkEnd w:id="26"/>
    <w:bookmarkEnd w:id="27"/>
    <w:bookmarkEnd w:id="28"/>
    <w:p>
      <w:pPr>
        <w:pStyle w:val="BodyText"/>
      </w:pPr>
      <w:hyperlink w:anchor="Retaining-Boundary-Walls"/>
    </w:p>
    <w:p>
      <w:pPr>
        <w:pStyle w:val="BodyText"/>
      </w:pPr>
      <w:r>
        <w:t xml:space="preserve">Retaining &amp; Boundary Walls</w:t>
      </w:r>
    </w:p>
    <w:bookmarkStart w:id="31" w:name="Retaining-Boundary-Walls"/>
    <w:p>
      <w:pPr>
        <w:pStyle w:val="BodyText"/>
      </w:pPr>
      <w:hyperlink r:id="rId29">
        <w:r>
          <w:rPr>
            <w:rStyle w:val="Hyperlink"/>
            <w:i/>
            <w:iCs/>
          </w:rPr>
          <w:t xml:space="preserve">https://www.ura.gov.sg/-/media/Corporate/Guidelines/Development-control/Agriculture/Allowable-Height-of-Retaining-and-Boundary-Walls.jpg</w:t>
        </w:r>
      </w:hyperlink>
    </w:p>
    <w:p>
      <w:pPr>
        <w:pStyle w:val="BodyText"/>
      </w:pPr>
      <w:r>
        <w:rPr>
          <w:i/>
          <w:iCs/>
        </w:rPr>
        <w:t xml:space="preserve">Allowable Height of Retaining and Boundary Walls</w:t>
      </w:r>
    </w:p>
    <w:p>
      <w:pPr>
        <w:pStyle w:val="BodyText"/>
      </w:pPr>
      <w:r>
        <w:t xml:space="preserve">The maximum allowable height for boundary walls is 1.8m.</w:t>
      </w:r>
      <w:r>
        <w:br/>
      </w:r>
      <w:r>
        <w:br/>
      </w:r>
      <w:r>
        <w:t xml:space="preserve">High retaining walls shall be avoided wherever possible, particularly for small in-fill plots. If they have to be built and can be allowed, they shall meet the following requirements:</w:t>
      </w:r>
      <w:r>
        <w:br/>
      </w:r>
    </w:p>
    <w:p>
      <w:pPr>
        <w:pStyle w:val="Compact"/>
        <w:numPr>
          <w:ilvl w:val="0"/>
          <w:numId w:val="1003"/>
        </w:numPr>
      </w:pPr>
      <w:r>
        <w:t xml:space="preserve">the height shall be less than 1.5m;</w:t>
      </w:r>
    </w:p>
    <w:p>
      <w:pPr>
        <w:pStyle w:val="Compact"/>
        <w:numPr>
          <w:ilvl w:val="0"/>
          <w:numId w:val="1003"/>
        </w:numPr>
      </w:pPr>
      <w:r>
        <w:t xml:space="preserve">retaining walls higher than 1.5m may be considered because of site constraints and the need for extensive excavation;</w:t>
      </w:r>
    </w:p>
    <w:p>
      <w:pPr>
        <w:pStyle w:val="Compact"/>
        <w:numPr>
          <w:ilvl w:val="0"/>
          <w:numId w:val="1003"/>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measures, pending the redevelopment of the neighbouring land to the same MPL.</w:t>
      </w:r>
    </w:p>
    <w:bookmarkStart w:id="30" w:name="Retaining-Boundary-Walls1"/>
    <w:bookmarkEnd w:id="30"/>
    <w:bookmarkEnd w:id="31"/>
    <w:p>
      <w:r>
        <w:pict>
          <v:rect style="width:0;height:1.5pt" o:hralign="center" o:hrstd="t" o:hr="t"/>
        </w:pict>
      </w:r>
    </w:p>
    <w:p>
      <w:pPr>
        <w:pStyle w:val="FirstParagraph"/>
      </w:pPr>
      <w:r>
        <w:rPr>
          <w:i/>
          <w:iCs/>
        </w:rPr>
        <w:t xml:space="preserve">Last updated on 20 September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ura.gov.sg/-/media/Corporate/Guidelines/Development-control/Agriculture/Allowable-Height-of-Retaining-and-Boundary-Walls.jpg" TargetMode="External" /></Relationships>
</file>

<file path=word/_rels/footnotes.xml.rels><?xml version="1.0" encoding="UTF-8"?><Relationships xmlns="http://schemas.openxmlformats.org/package/2006/relationships"><Relationship Type="http://schemas.openxmlformats.org/officeDocument/2006/relationships/hyperlink" Id="rId29" Target="https://www.ura.gov.sg/-/media/Corporate/Guidelines/Development-control/Agriculture/Allowable-Height-of-Retaining-and-Boundary-Walls.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2024-05-23T09:31:01Z</dcterms:created>
  <dcterms:modified xsi:type="dcterms:W3CDTF">2024-05-23T09:31:01Z</dcterms:modified>
</cp:coreProperties>
</file>

<file path=docProps/custom.xml><?xml version="1.0" encoding="utf-8"?>
<Properties xmlns="http://schemas.openxmlformats.org/officeDocument/2006/custom-properties" xmlns:vt="http://schemas.openxmlformats.org/officeDocument/2006/docPropsVTypes"/>
</file>