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rking"/>
    <w:p>
      <w:pPr>
        <w:pStyle w:val="Heading3"/>
      </w:pPr>
      <w:r>
        <w:t xml:space="preserve">Parking</w:t>
      </w:r>
    </w:p>
    <w:p>
      <w:pPr>
        <w:pStyle w:val="FirstParagraph"/>
      </w:pPr>
      <w:r>
        <w:t xml:space="preserve">LTA prescribes the parking provision standards and requirements for motor vehicles and bicycles. The requirements are usually based on the quantum of the gross floor area the development uses.</w:t>
      </w:r>
      <w:r>
        <w:br/>
      </w:r>
      <w:r>
        <w:br/>
      </w:r>
      <w:r>
        <w:t xml:space="preserve">Details may be found in </w:t>
      </w:r>
      <w:hyperlink r:id="rId20">
        <w:r>
          <w:rPr>
            <w:rStyle w:val="Hyperlink"/>
          </w:rPr>
          <w:t xml:space="preserve">LTA’s Code of Practice for Vehicle Parking Provision in Developments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2024-05-23T03:20:09Z</dcterms:created>
  <dcterms:modified xsi:type="dcterms:W3CDTF">2024-05-23T03:20:09Z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