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Examples of allowable uses on B1 sites under the Predominant and Ancillary (or supporting) Use categories are shown below. Uses not indicated below shall be evaluated on the merits of the case.</w:t>
      </w:r>
    </w:p>
    <w:p>
      <w:pPr>
        <w:pStyle w:val="BodyText"/>
      </w:pPr>
      <w:r>
        <w:rPr>
          <w:b/>
          <w:bCs/>
        </w:rPr>
        <w:t xml:space="preserve">Allowable Predominant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Minimum 60% Predominant Use </w:t>
            </w:r>
          </w:p>
        </w:tc>
      </w:tr>
      <w:tr>
        <w:tc>
          <w:tcPr/>
          <w:p>
            <w:pPr>
              <w:pStyle w:val="Compact"/>
              <w:jc w:val="center"/>
            </w:pPr>
            <w:r>
              <w:t xml:space="preserve">Manufacturing</w:t>
            </w:r>
            <w:r>
              <w:br/>
            </w:r>
            <w:r>
              <w:t xml:space="preserve">(Light Industries)</w:t>
            </w:r>
          </w:p>
        </w:tc>
        <w:tc>
          <w:tcPr/>
          <w:p>
            <w:pPr>
              <w:pStyle w:val="Compact"/>
              <w:jc w:val="center"/>
            </w:pPr>
            <w:r>
              <w:t xml:space="preserve">Printing / Publishing</w:t>
            </w:r>
          </w:p>
        </w:tc>
      </w:tr>
      <w:tr>
        <w:tc>
          <w:tcPr/>
          <w:p>
            <w:pPr>
              <w:pStyle w:val="Compact"/>
              <w:jc w:val="center"/>
            </w:pPr>
            <w:r>
              <w:t xml:space="preserve">Food Industry</w:t>
            </w:r>
            <w:r>
              <w:br/>
            </w:r>
            <w:r>
              <w:t xml:space="preserve">(Packing)</w:t>
            </w:r>
          </w:p>
        </w:tc>
        <w:tc>
          <w:tcPr/>
          <w:p>
            <w:pPr>
              <w:pStyle w:val="Compact"/>
              <w:jc w:val="center"/>
            </w:pPr>
            <w:r>
              <w:t xml:space="preserve">E-Business</w:t>
            </w:r>
            <w:r>
              <w:rPr>
                <w:vertAlign w:val="superscript"/>
              </w:rPr>
              <w:t xml:space="preserve">2</w:t>
            </w:r>
          </w:p>
        </w:tc>
      </w:tr>
      <w:tr>
        <w:tc>
          <w:tcPr/>
          <w:p>
            <w:pPr>
              <w:pStyle w:val="Compact"/>
              <w:jc w:val="center"/>
            </w:pPr>
            <w:r>
              <w:t xml:space="preserve">Core Media</w:t>
            </w:r>
            <w:r>
              <w:rPr>
                <w:vertAlign w:val="superscript"/>
              </w:rPr>
              <w:t xml:space="preserve">1</w:t>
            </w:r>
          </w:p>
        </w:tc>
        <w:tc>
          <w:tcPr/>
          <w:p>
            <w:pPr>
              <w:pStyle w:val="Compact"/>
              <w:jc w:val="center"/>
            </w:pPr>
            <w:r>
              <w:t xml:space="preserve"> Industrial Training</w:t>
            </w:r>
          </w:p>
        </w:tc>
      </w:tr>
    </w:tbl>
    <w:bookmarkEnd w:id="20"/>
    <w:bookmarkStart w:id="22" w:name="column_0_right_1_txtTitle"/>
    <w:bookmarkStart w:id="21" w:name="section"/>
    <w:p>
      <w:pPr>
        <w:pStyle w:val="Heading3"/>
      </w:pPr>
    </w:p>
    <w:bookmarkEnd w:id="21"/>
    <w:bookmarkEnd w:id="22"/>
    <w:p>
      <w:pPr>
        <w:pStyle w:val="FirstParagraph"/>
      </w:pPr>
      <w:hyperlink w:anchor="Core-Media"/>
    </w:p>
    <w:p>
      <w:pPr>
        <w:pStyle w:val="BodyText"/>
      </w:pPr>
      <w:r>
        <w:rPr>
          <w:vertAlign w:val="superscript"/>
        </w:rPr>
        <w:t xml:space="preserve">1</w:t>
      </w:r>
      <w:r>
        <w:t xml:space="preserve"> </w:t>
      </w:r>
      <w:r>
        <w:t xml:space="preserve">Core Media</w:t>
      </w:r>
    </w:p>
    <w:bookmarkStart w:id="32" w:name="Core-Media"/>
    <w:p>
      <w:pPr>
        <w:pStyle w:val="BodyText"/>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bookmarkStart w:id="31" w:name="Core-Media1"/>
    <w:p>
      <w:pPr>
        <w:pStyle w:val="BodyText"/>
      </w:pPr>
      <w:hyperlink w:anchor="Pre-Production"/>
    </w:p>
    <w:bookmarkStart w:id="23" w:name="pre-production"/>
    <w:p>
      <w:pPr>
        <w:pStyle w:val="Heading4"/>
      </w:pPr>
      <w:r>
        <w:t xml:space="preserve">* Pre-production</w:t>
      </w:r>
    </w:p>
    <w:bookmarkEnd w:id="23"/>
    <w:bookmarkStart w:id="24" w:name="Pre-Production"/>
    <w:p>
      <w:pPr>
        <w:pStyle w:val="FirstParagraph"/>
      </w:pPr>
      <w:r>
        <w:t xml:space="preserve">Pre-production activities provide creative conceptualisation, scripting, editorial editing, composing and text layout.</w:t>
      </w:r>
    </w:p>
    <w:bookmarkEnd w:id="24"/>
    <w:p>
      <w:pPr>
        <w:pStyle w:val="BodyText"/>
      </w:pPr>
      <w:hyperlink w:anchor="Production"/>
    </w:p>
    <w:bookmarkStart w:id="25" w:name="production"/>
    <w:p>
      <w:pPr>
        <w:pStyle w:val="Heading4"/>
      </w:pPr>
      <w:r>
        <w:t xml:space="preserve">^ Production</w:t>
      </w:r>
    </w:p>
    <w:bookmarkEnd w:id="25"/>
    <w:bookmarkStart w:id="26" w:name="Production"/>
    <w:p>
      <w:pPr>
        <w:pStyle w:val="FirstParagraph"/>
      </w:pPr>
      <w:r>
        <w:t xml:space="preserve">Production activities may include studio production (including dressing rooms), location production, audio recording, dubbing, media library services, printing press.</w:t>
      </w:r>
    </w:p>
    <w:bookmarkEnd w:id="26"/>
    <w:p>
      <w:pPr>
        <w:pStyle w:val="BodyText"/>
      </w:pPr>
      <w:hyperlink w:anchor="Network-Programming"/>
    </w:p>
    <w:bookmarkStart w:id="27" w:name="network-programming"/>
    <w:p>
      <w:pPr>
        <w:pStyle w:val="Heading4"/>
      </w:pPr>
      <w:r>
        <w:rPr>
          <w:vertAlign w:val="superscript"/>
        </w:rPr>
        <w:t xml:space="preserve">#</w:t>
      </w:r>
      <w:r>
        <w:t xml:space="preserve"> </w:t>
      </w:r>
      <w:r>
        <w:t xml:space="preserve">Network Programming</w:t>
      </w:r>
    </w:p>
    <w:bookmarkEnd w:id="27"/>
    <w:bookmarkStart w:id="28" w:name="Network-Programming"/>
    <w:p>
      <w:pPr>
        <w:pStyle w:val="FirstParagraph"/>
      </w:pPr>
      <w:r>
        <w:t xml:space="preserve">Network programming activities may include scheduling, programme management, transmission services, origination playback.</w:t>
      </w:r>
    </w:p>
    <w:bookmarkEnd w:id="28"/>
    <w:p>
      <w:pPr>
        <w:pStyle w:val="BodyText"/>
      </w:pPr>
      <w:hyperlink w:anchor="PPD"/>
    </w:p>
    <w:bookmarkStart w:id="29" w:name="post-production-and-distribution"/>
    <w:p>
      <w:pPr>
        <w:pStyle w:val="Heading4"/>
      </w:pPr>
      <w:r>
        <w:rPr>
          <w:vertAlign w:val="superscript"/>
        </w:rPr>
        <w:t xml:space="preserve">@</w:t>
      </w:r>
      <w:r>
        <w:t xml:space="preserve"> </w:t>
      </w:r>
      <w:r>
        <w:t xml:space="preserve">Post-production and Distribution</w:t>
      </w:r>
    </w:p>
    <w:bookmarkEnd w:id="29"/>
    <w:bookmarkStart w:id="30" w:name="PPD"/>
    <w:p>
      <w:pPr>
        <w:pStyle w:val="FirstParagraph"/>
      </w:pP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30"/>
    <w:bookmarkEnd w:id="31"/>
    <w:bookmarkEnd w:id="32"/>
    <w:p>
      <w:pPr>
        <w:pStyle w:val="BodyText"/>
      </w:pPr>
      <w:hyperlink w:anchor="E-Business"/>
    </w:p>
    <w:p>
      <w:pPr>
        <w:pStyle w:val="BodyText"/>
      </w:pPr>
      <w:r>
        <w:rPr>
          <w:vertAlign w:val="superscript"/>
        </w:rPr>
        <w:t xml:space="preserve">2</w:t>
      </w:r>
      <w:r>
        <w:t xml:space="preserve"> </w:t>
      </w:r>
      <w:r>
        <w:t xml:space="preserve">E-Business</w:t>
      </w:r>
    </w:p>
    <w:bookmarkStart w:id="34" w:name="E-Business"/>
    <w:p>
      <w:pPr>
        <w:pStyle w:val="BodyText"/>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p>
      <w:pPr>
        <w:pStyle w:val="BodyText"/>
      </w:pPr>
      <w:r>
        <w:br/>
      </w:r>
    </w:p>
    <w:bookmarkStart w:id="33" w:name="E-Business1"/>
    <w:bookmarkEnd w:id="33"/>
    <w:bookmarkEnd w:id="34"/>
    <w:p>
      <w:pPr>
        <w:pStyle w:val="BodyText"/>
      </w:pPr>
      <w:r>
        <w:rPr>
          <w:b/>
          <w:bCs/>
        </w:rPr>
        <w:t xml:space="preserve">Allowable Ancillary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Maximum 40% Ancillary Use</w:t>
            </w:r>
          </w:p>
        </w:tc>
      </w:tr>
      <w:tr>
        <w:tc>
          <w:tcPr/>
          <w:p>
            <w:pPr>
              <w:pStyle w:val="Compact"/>
              <w:jc w:val="center"/>
            </w:pPr>
            <w:r>
              <w:t xml:space="preserve">Ancillary Office</w:t>
            </w:r>
          </w:p>
        </w:tc>
        <w:tc>
          <w:tcPr/>
          <w:p>
            <w:pPr>
              <w:pStyle w:val="Compact"/>
              <w:jc w:val="center"/>
            </w:pPr>
            <w:r>
              <w:t xml:space="preserve">Meeting Room</w:t>
            </w:r>
          </w:p>
        </w:tc>
      </w:tr>
      <w:tr>
        <w:tc>
          <w:tcPr/>
          <w:p>
            <w:pPr>
              <w:pStyle w:val="Compact"/>
              <w:jc w:val="center"/>
            </w:pPr>
            <w:r>
              <w:t xml:space="preserve">Showroom</w:t>
            </w:r>
          </w:p>
        </w:tc>
        <w:tc>
          <w:tcPr/>
          <w:p>
            <w:pPr>
              <w:pStyle w:val="Compact"/>
              <w:jc w:val="center"/>
            </w:pPr>
            <w:r>
              <w:t xml:space="preserve">Selected Commercial Uses</w:t>
            </w:r>
            <w:r>
              <w:br/>
            </w:r>
            <w:r>
              <w:t xml:space="preserve">(In outlying areas)</w:t>
            </w:r>
          </w:p>
        </w:tc>
      </w:tr>
      <w:tr>
        <w:tc>
          <w:tcPr/>
          <w:p>
            <w:pPr>
              <w:pStyle w:val="Compact"/>
              <w:jc w:val="center"/>
            </w:pPr>
            <w:r>
              <w:t xml:space="preserve">Childcare Centre</w:t>
            </w:r>
          </w:p>
        </w:tc>
        <w:tc>
          <w:tcPr/>
          <w:p>
            <w:pPr>
              <w:pStyle w:val="Compact"/>
              <w:jc w:val="center"/>
            </w:pPr>
            <w:r>
              <w:t xml:space="preserve">Industrial Canteen</w:t>
            </w:r>
          </w:p>
        </w:tc>
      </w:tr>
      <w:tr>
        <w:tc>
          <w:tcPr/>
          <w:p>
            <w:pPr>
              <w:pStyle w:val="Compact"/>
              <w:jc w:val="center"/>
            </w:pPr>
            <w:r>
              <w:t xml:space="preserve">Workers' Dormitory</w:t>
            </w:r>
          </w:p>
        </w:tc>
        <w:tc>
          <w:tcPr/>
          <w:p>
            <w:pPr>
              <w:pStyle w:val="Compact"/>
              <w:jc w:val="center"/>
            </w:pPr>
            <w:r>
              <w:t xml:space="preserve">Ancillary Display Area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2024-05-23T00:51:44Z</dcterms:created>
  <dcterms:modified xsi:type="dcterms:W3CDTF">2024-05-23T00:51:44Z</dcterms:modified>
</cp:coreProperties>
</file>

<file path=docProps/custom.xml><?xml version="1.0" encoding="utf-8"?>
<Properties xmlns="http://schemas.openxmlformats.org/officeDocument/2006/custom-properties" xmlns:vt="http://schemas.openxmlformats.org/officeDocument/2006/docPropsVTypes"/>
</file>