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https://ura.gov.sg/-/media/Corporate/Guidelines/Development-control/Industrial/B103_Building_Height.jpg?h=100%25&amp;w=100%25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Floor-to-Floor-Height"/>
    </w:p>
    <w:p>
      <w:pPr>
        <w:pStyle w:val="BodyText"/>
      </w:pPr>
      <w:r>
        <w:t xml:space="preserve">Floor-to-Floor Height</w:t>
      </w:r>
    </w:p>
    <w:bookmarkStart w:id="28" w:name="Floor-to-Floor-Height"/>
    <w:p>
      <w:pPr>
        <w:pStyle w:val="BodyText"/>
      </w:pPr>
      <w:r>
        <w:t xml:space="preserve">The minimum floor-to-floor height of industrial buildings is 4.0m. For Sindo Industrial Estate where there is a storey height control, the maximum floor-to-floor height control is 6.0m.</w:t>
      </w:r>
    </w:p>
    <w:p>
      <w:pPr>
        <w:pStyle w:val="BodyText"/>
      </w:pPr>
      <w:hyperlink r:id="rId26">
        <w:r>
          <w:rPr>
            <w:rStyle w:val="Hyperlink"/>
          </w:rPr>
          <w:t xml:space="preserve">https://ura.gov.sg/-/media/Corporate/Guidelines/Development-control/Industrial/Sindo-Industrial-Estate.png?h=100%25&amp;w=100%25</w:t>
        </w:r>
      </w:hyperlink>
    </w:p>
    <w:p>
      <w:pPr>
        <w:pStyle w:val="BodyText"/>
      </w:pPr>
      <w:r>
        <w:rPr>
          <w:i/>
          <w:iCs/>
        </w:rPr>
        <w:t xml:space="preserve">Sindo Industrial Estate</w:t>
      </w:r>
    </w:p>
    <w:bookmarkStart w:id="27" w:name="Floor-to-Floor-Height1"/>
    <w:bookmarkEnd w:id="27"/>
    <w:bookmarkEnd w:id="28"/>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103_Building_Height.jpg?h=100%25&amp;w=100%25" TargetMode="External" /><Relationship Type="http://schemas.openxmlformats.org/officeDocument/2006/relationships/hyperlink" Id="rId26" Target="https://ura.gov.sg/-/media/Corporate/Guidelines/Development-control/Industrial/Sindo-Industrial-Estate.pn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103_Building_Height.jpg?h=100%25&amp;w=100%25" TargetMode="External" /><Relationship Type="http://schemas.openxmlformats.org/officeDocument/2006/relationships/hyperlink" Id="rId26" Target="https://ura.gov.sg/-/media/Corporate/Guidelines/Development-control/Industrial/Sindo-Industrial-Estate.pn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