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3"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Table-3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Earthworks-Buildable"/>
    </w:p>
    <w:bookmarkStart w:id="28" w:name="X139ca323c9c7c5c1e9be3517228f6f5a0f55033"/>
    <w:p>
      <w:pPr>
        <w:pStyle w:val="Heading4"/>
      </w:pPr>
      <w:r>
        <w:t xml:space="preserve">Earthworks within the build-able area (ie outside the building setback area)</w:t>
      </w:r>
    </w:p>
    <w:bookmarkEnd w:id="28"/>
    <w:bookmarkStart w:id="29"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arthworks-Site"/>
    </w:p>
    <w:bookmarkStart w:id="30" w:name="X7c1ed85c3af5cdff662f69661f5d2975806191c"/>
    <w:p>
      <w:pPr>
        <w:pStyle w:val="Heading4"/>
      </w:pPr>
      <w:r>
        <w:t xml:space="preserve">Earthworks within the entire development site</w:t>
      </w:r>
    </w:p>
    <w:bookmarkEnd w:id="30"/>
    <w:bookmarkStart w:id="31"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Walls"/>
    </w:p>
    <w:p>
      <w:pPr>
        <w:pStyle w:val="BodyText"/>
      </w:pPr>
      <w:r>
        <w:t xml:space="preserve">Retaining &amp; Boundary Walls</w:t>
      </w:r>
    </w:p>
    <w:bookmarkStart w:id="37" w:name="Retaining-Walls"/>
    <w:p>
      <w:pPr>
        <w:pStyle w:val="BodyText"/>
      </w:pPr>
      <w:r>
        <w:drawing>
          <wp:inline>
            <wp:extent cx="9525" cy="9525"/>
            <wp:effectExtent b="0" l="0" r="0" t="0"/>
            <wp:docPr descr="Illustration of a 1.5m high retaining wall"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Walls1"/>
    <w:bookmarkEnd w:id="36"/>
    <w:bookmarkEnd w:id="37"/>
    <w:p>
      <w:pPr>
        <w:pStyle w:val="BodyText"/>
      </w:pPr>
      <w:r>
        <w:t xml:space="preserve">The above are general guidelines for earthworks and retaining walls. For industrial developments, these guidelines will apply differently depending on the type of development on the neighbouring parcels of land.</w:t>
      </w:r>
    </w:p>
    <w:p>
      <w:pPr>
        <w:pStyle w:val="BodyText"/>
      </w:pPr>
      <w:r>
        <w:drawing>
          <wp:inline>
            <wp:extent cx="9525" cy="9525"/>
            <wp:effectExtent b="0" l="0" r="0" t="0"/>
            <wp:docPr descr="Earthworks for industrial scenrios where the guidelines apply" title="" id="3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9"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Earthworks for industrial scenarios where the guidelines apply (see full illustration</w:t>
      </w:r>
      <w:r>
        <w:rPr>
          <w:i/>
          <w:iCs/>
        </w:rPr>
        <w:t xml:space="preserve"> </w:t>
      </w:r>
      <w:hyperlink r:id="rId40">
        <w:r>
          <w:rPr>
            <w:rStyle w:val="Hyperlink"/>
            <w:i/>
            <w:iCs/>
          </w:rPr>
          <w:t xml:space="preserve">here</w:t>
        </w:r>
      </w:hyperlink>
      <w:r>
        <w:rPr>
          <w:i/>
          <w:iCs/>
        </w:rPr>
        <w:t xml:space="preserve">)</w:t>
      </w:r>
    </w:p>
    <w:p>
      <w:pPr>
        <w:pStyle w:val="BodyText"/>
      </w:pPr>
      <w:r>
        <w:drawing>
          <wp:inline>
            <wp:extent cx="9525" cy="9525"/>
            <wp:effectExtent b="0" l="0" r="0" t="0"/>
            <wp:docPr descr="Earthworks for industrial scenrios where the guidelines do not apply" title="" id="4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2"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Earthworks for industrial scenarios where the guidelines do not apply (see full illustration</w:t>
      </w:r>
      <w:r>
        <w:rPr>
          <w:i/>
          <w:iCs/>
        </w:rPr>
        <w:t xml:space="preserve"> </w:t>
      </w:r>
      <w:hyperlink r:id="rId43">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w:t>
      </w:r>
      <w:r>
        <w:t xml:space="preserve">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3" Target="-/media/2AE61DD2089741BCA6FF3F84120C3A2C.ashx" TargetMode="External" /><Relationship Type="http://schemas.openxmlformats.org/officeDocument/2006/relationships/hyperlink" Id="rId40" Target="-/media/52700266ABC24FD5A07E3FFA0FA3A7D0.ashx" TargetMode="External" /></Relationships>
</file>

<file path=word/_rels/footnotes.xml.rels><?xml version="1.0" encoding="UTF-8"?><Relationships xmlns="http://schemas.openxmlformats.org/package/2006/relationships"><Relationship Type="http://schemas.openxmlformats.org/officeDocument/2006/relationships/hyperlink" Id="rId43" Target="-/media/2AE61DD2089741BCA6FF3F84120C3A2C.ashx" TargetMode="External" /><Relationship Type="http://schemas.openxmlformats.org/officeDocument/2006/relationships/hyperlink" Id="rId40" Target="-/media/52700266ABC24FD5A07E3FFA0FA3A7D0.ash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2024-05-23T00:51:41Z</dcterms:created>
  <dcterms:modified xsi:type="dcterms:W3CDTF">2024-05-23T00:51:41Z</dcterms:modified>
</cp:coreProperties>
</file>

<file path=docProps/custom.xml><?xml version="1.0" encoding="utf-8"?>
<Properties xmlns="http://schemas.openxmlformats.org/officeDocument/2006/custom-properties" xmlns:vt="http://schemas.openxmlformats.org/officeDocument/2006/docPropsVTypes"/>
</file>