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of a Business 1 (B1) development is guided by the GPR specified in the Master Plan (MP). This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bookmarkEnd w:id="21"/>
    <w:bookmarkStart w:id="23" w:name="column_0_right_1_txtTitle"/>
    <w:bookmarkStart w:id="22" w:name="section"/>
    <w:p>
      <w:pPr>
        <w:pStyle w:val="Heading3"/>
      </w:pPr>
    </w:p>
    <w:bookmarkEnd w:id="22"/>
    <w:bookmarkEnd w:id="23"/>
    <w:p>
      <w:pPr>
        <w:pStyle w:val="FirstParagraph"/>
      </w:pPr>
      <w:hyperlink w:anchor="B1-White"/>
    </w:p>
    <w:p>
      <w:pPr>
        <w:pStyle w:val="BodyText"/>
      </w:pPr>
      <w:r>
        <w:t xml:space="preserve">B1-White</w:t>
      </w:r>
    </w:p>
    <w:bookmarkStart w:id="27" w:name="B1-White"/>
    <w:p>
      <w:pPr>
        <w:pStyle w:val="BodyText"/>
      </w:pPr>
      <w:r>
        <w:t xml:space="preserve">B1 sites located next to MRT stations may be zoned B1-W. The white component is to provide flexibility for industrial companies in such locations to accommodate synergistic White uses.</w:t>
      </w:r>
    </w:p>
    <w:p>
      <w:pPr>
        <w:pStyle w:val="BodyText"/>
      </w:pPr>
      <w:r>
        <w:t xml:space="preserve">For such B1-W sites, a minimum GPR shall be achieved for the permissible B1 uses first. This minimum GPR for B1 uses is indicated in the square brackets on the Master Plan.</w:t>
      </w:r>
    </w:p>
    <w:p>
      <w:pPr>
        <w:pStyle w:val="BodyText"/>
      </w:pPr>
      <w:r>
        <w:t xml:space="preserve">For example, in the map below, the sites next to Tai Seng MRT Station are zoned “</w:t>
      </w:r>
      <w:r>
        <w:rPr>
          <w:b/>
          <w:bCs/>
        </w:rPr>
        <w:t xml:space="preserve">3.5 [B-2.5] W</w:t>
      </w:r>
      <w:r>
        <w:t xml:space="preserve">”. A B1-W site would have an overall allowable GPR of 3.5. A minimum GPR of 2.5 must be achieved and used for industrial purposes first before the remaining GPR 1.0 may be unlocked for White uses.</w:t>
      </w:r>
    </w:p>
    <w:p>
      <w:pPr>
        <w:pStyle w:val="BodyText"/>
      </w:pPr>
      <w:r>
        <w:t xml:space="preserve">Refer to section on</w:t>
      </w:r>
      <w:r>
        <w:t xml:space="preserve"> </w:t>
      </w:r>
      <w:hyperlink r:id="rId24">
        <w:r>
          <w:rPr>
            <w:rStyle w:val="Hyperlink"/>
          </w:rPr>
          <w:t xml:space="preserve">Allowable Uses</w:t>
        </w:r>
      </w:hyperlink>
      <w:r>
        <w:t xml:space="preserve"> </w:t>
      </w:r>
      <w:r>
        <w:t xml:space="preserve">for the list of allowable uses within the White component.</w:t>
      </w:r>
    </w:p>
    <w:p>
      <w:pPr>
        <w:pStyle w:val="BodyText"/>
      </w:pPr>
      <w:hyperlink r:id="rId25">
        <w:r>
          <w:rPr>
            <w:rStyle w:val="Hyperlink"/>
          </w:rPr>
          <w:t xml:space="preserve">https://ura.gov.sg/-/media/Corporate/Guidelines/Development-control/Industrial/B1-White-Sites.jpg?h=100%25&amp;w=100%25</w:t>
        </w:r>
      </w:hyperlink>
    </w:p>
    <w:p>
      <w:pPr>
        <w:pStyle w:val="BodyText"/>
      </w:pPr>
      <w:r>
        <w:rPr>
          <w:i/>
          <w:iCs/>
        </w:rPr>
        <w:t xml:space="preserve">B1-White sites located near Tai Seng MRT Station</w:t>
      </w:r>
    </w:p>
    <w:bookmarkStart w:id="26" w:name="B1-Whit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orporate/Guidelines/Development-Control/Non-Residential/B1/Allowable-Uses" TargetMode="External" /><Relationship Type="http://schemas.openxmlformats.org/officeDocument/2006/relationships/hyperlink" Id="rId20" Target="https://ura.gov.sg/-/media/Corporate/Guidelines/Development-control/Flats-Condominiums/F01_Gross_Plot_Ratio.jpg?h=100%25&amp;w=100%25" TargetMode="External" /><Relationship Type="http://schemas.openxmlformats.org/officeDocument/2006/relationships/hyperlink" Id="rId25" Target="https://ura.gov.sg/-/media/Corporate/Guidelines/Development-control/Industrial/B1-White-Sit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Corporate/Guidelines/Development-Control/Non-Residential/B1/Allowable-Uses" TargetMode="External" /><Relationship Type="http://schemas.openxmlformats.org/officeDocument/2006/relationships/hyperlink" Id="rId20" Target="https://ura.gov.sg/-/media/Corporate/Guidelines/Development-control/Flats-Condominiums/F01_Gross_Plot_Ratio.jpg?h=100%25&amp;w=100%25" TargetMode="External" /><Relationship Type="http://schemas.openxmlformats.org/officeDocument/2006/relationships/hyperlink" Id="rId25" Target="https://ura.gov.sg/-/media/Corporate/Guidelines/Development-control/Industrial/B1-White-Sit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2024-05-23T03:20:10Z</dcterms:created>
  <dcterms:modified xsi:type="dcterms:W3CDTF">2024-05-23T03:20:10Z</dcterms:modified>
</cp:coreProperties>
</file>

<file path=docProps/custom.xml><?xml version="1.0" encoding="utf-8"?>
<Properties xmlns="http://schemas.openxmlformats.org/officeDocument/2006/custom-properties" xmlns:vt="http://schemas.openxmlformats.org/officeDocument/2006/docPropsVTypes"/>
</file>