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Industrial developments comprise factories, warehouses, telecommunication and utility buildings. Depending on the nature of their activities, clean and light industries are allowed in Business 1 (B1) zone. General and special industries are to be located in Business 2 (B2) zone.</w:t>
      </w:r>
    </w:p>
    <w:p>
      <w:pPr>
        <w:pStyle w:val="BodyText"/>
      </w:pPr>
      <w:r>
        <w:t xml:space="preserve">The National Environment Agency (NEA) would require a 50m nuisance buffer from a B1 zone to the surrounding area. Industrial activities that require a nuisance buffer greater than 50m to the surrounding area may not be located in B1 zone. The allowable types of industry or use within industrial developments, based on NEA’s nuisance buffer requirements, are listed</w:t>
      </w:r>
      <w:r>
        <w:t xml:space="preserve"> </w:t>
      </w:r>
      <w:hyperlink r:id="rId20">
        <w:r>
          <w:rPr>
            <w:rStyle w:val="Hyperlink"/>
          </w:rPr>
          <w:t xml:space="preserve">here</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services.nea.gov.sg/ias/PublicApplicant/Homepag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e-services.nea.gov.sg/ias/PublicApplicant/Homepage.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2024-05-23T03:20:10Z</dcterms:created>
  <dcterms:modified xsi:type="dcterms:W3CDTF">2024-05-23T03:20:10Z</dcterms:modified>
</cp:coreProperties>
</file>

<file path=docProps/custom.xml><?xml version="1.0" encoding="utf-8"?>
<Properties xmlns="http://schemas.openxmlformats.org/officeDocument/2006/custom-properties" xmlns:vt="http://schemas.openxmlformats.org/officeDocument/2006/docPropsVTypes"/>
</file>