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setback-from-boundary"/>
    <w:p>
      <w:pPr>
        <w:pStyle w:val="Heading3"/>
      </w:pPr>
      <w:r>
        <w:t xml:space="preserve">Building Setback from Boundary</w:t>
      </w:r>
    </w:p>
    <w:p>
      <w:pPr>
        <w:pStyle w:val="FirstParagraph"/>
      </w:pPr>
      <w:hyperlink r:id="rId20">
        <w:r>
          <w:rPr>
            <w:rStyle w:val="Hyperlink"/>
          </w:rPr>
          <w:t xml:space="preserve">https://www.ura.gov.sg/-/media/Corporate/Guidelines/Development-control/Industrial/B101_Road_Buffer_Setbacks.jpg?h=100%25&amp;w=100%25</w:t>
        </w:r>
      </w:hyperlink>
    </w:p>
    <w:p>
      <w:pPr>
        <w:pStyle w:val="BodyText"/>
      </w:pPr>
      <w:r>
        <w:rPr>
          <w:i/>
          <w:iCs/>
        </w:rPr>
        <w:t xml:space="preserve">Setback Requirements</w:t>
      </w:r>
    </w:p>
    <w:p>
      <w:pPr>
        <w:pStyle w:val="BodyText"/>
      </w:pPr>
      <w:r>
        <w:t xml:space="preserve">All industrial developments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 excluding land to be vested to the State for road and/or drainage purpose.</w:t>
      </w:r>
    </w:p>
    <w:p>
      <w:pPr>
        <w:pStyle w:val="BodyText"/>
      </w:pPr>
      <w:r>
        <w:t xml:space="preserve">All industrial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Table 1 below. The common boundary setback requirements are in Table 2 below.</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1"/>
    <w:bookmarkStart w:id="23" w:name="column_0_right_1_txtTitle"/>
    <w:bookmarkStart w:id="22" w:name="section"/>
    <w:p>
      <w:pPr>
        <w:pStyle w:val="Heading3"/>
      </w:pPr>
    </w:p>
    <w:bookmarkEnd w:id="22"/>
    <w:bookmarkEnd w:id="23"/>
    <w:p>
      <w:pPr>
        <w:pStyle w:val="FirstParagraph"/>
      </w:pPr>
      <w:hyperlink w:anchor="Table-1"/>
    </w:p>
    <w:p>
      <w:pPr>
        <w:pStyle w:val="BodyText"/>
      </w:pPr>
      <w:r>
        <w:t xml:space="preserve">Table 1: Road Buffer, Green Buffer</w:t>
      </w:r>
    </w:p>
    <w:bookmarkStart w:id="25" w:name="Table-1"/>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r>
              <w:br/>
            </w:r>
            <w:r>
              <w:t xml:space="preserve">(5m)</w:t>
            </w:r>
          </w:p>
        </w:tc>
      </w:tr>
      <w:tr>
        <w:tc>
          <w:tcPr/>
          <w:p>
            <w:pPr>
              <w:pStyle w:val="Compact"/>
              <w:jc w:val="center"/>
            </w:pPr>
            <w:r>
              <w:t xml:space="preserve">Category 2</w:t>
            </w:r>
          </w:p>
        </w:tc>
        <w:tc>
          <w:tcPr/>
          <w:p>
            <w:pPr>
              <w:pStyle w:val="Compact"/>
              <w:jc w:val="center"/>
            </w:pPr>
            <w:r>
              <w:t xml:space="preserve">7.5m</w:t>
            </w:r>
            <w:r>
              <w:br/>
            </w:r>
            <w:r>
              <w:t xml:space="preserve">(3m)</w:t>
            </w:r>
          </w:p>
        </w:tc>
      </w:tr>
      <w:tr>
        <w:tc>
          <w:tcPr/>
          <w:p>
            <w:pPr>
              <w:pStyle w:val="Compact"/>
              <w:jc w:val="center"/>
            </w:pPr>
            <w:r>
              <w:t xml:space="preserve">Category 3</w:t>
            </w:r>
          </w:p>
        </w:tc>
        <w:tc>
          <w:tcPr/>
          <w:p>
            <w:pPr>
              <w:pStyle w:val="Compact"/>
              <w:jc w:val="center"/>
            </w:pPr>
            <w:r>
              <w:t xml:space="preserve">5m</w:t>
            </w:r>
            <w:r>
              <w:br/>
            </w:r>
            <w:r>
              <w:t xml:space="preserve">(3m)</w:t>
            </w:r>
          </w:p>
        </w:tc>
      </w:tr>
      <w:tr>
        <w:tc>
          <w:tcPr/>
          <w:p>
            <w:pPr>
              <w:pStyle w:val="Compact"/>
              <w:jc w:val="center"/>
            </w:pPr>
            <w:r>
              <w:t xml:space="preserve"> Category 4 - 5 and slip road</w:t>
            </w:r>
          </w:p>
        </w:tc>
        <w:tc>
          <w:tcPr/>
          <w:p>
            <w:pPr>
              <w:pStyle w:val="Compact"/>
              <w:jc w:val="center"/>
            </w:pPr>
            <w:r>
              <w:t xml:space="preserve">5m</w:t>
            </w:r>
            <w:r>
              <w:br/>
            </w:r>
            <w:r>
              <w:t xml:space="preserve">(3m)</w:t>
            </w:r>
          </w:p>
        </w:tc>
      </w:tr>
    </w:tbl>
    <w:bookmarkStart w:id="24" w:name="Table-11"/>
    <w:bookmarkEnd w:id="24"/>
    <w:bookmarkEnd w:id="25"/>
    <w:p>
      <w:pPr>
        <w:pStyle w:val="BodyText"/>
      </w:pPr>
      <w:hyperlink w:anchor="Table-2"/>
    </w:p>
    <w:p>
      <w:pPr>
        <w:pStyle w:val="BodyText"/>
      </w:pPr>
      <w:r>
        <w:t xml:space="preserve">Table 2: Common Boundary Setback &amp; Planting Strip</w:t>
      </w:r>
    </w:p>
    <w:bookmarkStart w:id="27" w:name="Table-2"/>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Type of Boundary</w:t>
            </w:r>
          </w:p>
        </w:tc>
        <w:tc>
          <w:tcPr/>
          <w:p>
            <w:pPr>
              <w:pStyle w:val="Compact"/>
              <w:jc w:val="left"/>
            </w:pPr>
            <w:r>
              <w:rPr>
                <w:b/>
                <w:bCs/>
              </w:rPr>
              <w:t xml:space="preserve">Building Setback Requirement</w:t>
            </w:r>
          </w:p>
        </w:tc>
      </w:tr>
      <w:tr>
        <w:tc>
          <w:tcPr/>
          <w:p>
            <w:pPr>
              <w:pStyle w:val="Compact"/>
              <w:jc w:val="left"/>
            </w:pPr>
            <w:r>
              <w:t xml:space="preserve">Common boundary with non-industrial development</w:t>
            </w:r>
          </w:p>
        </w:tc>
        <w:tc>
          <w:tcPr/>
          <w:p>
            <w:pPr>
              <w:pStyle w:val="Compact"/>
              <w:jc w:val="left"/>
            </w:pPr>
            <w:r>
              <w:t xml:space="preserve">Minimum 4.5m</w:t>
            </w:r>
            <w:r>
              <w:br/>
            </w:r>
            <w:r>
              <w:t xml:space="preserve">(No planting strip requirement)</w:t>
            </w:r>
          </w:p>
        </w:tc>
      </w:tr>
      <w:tr>
        <w:tc>
          <w:tcPr/>
          <w:p>
            <w:pPr>
              <w:pStyle w:val="Compact"/>
              <w:jc w:val="left"/>
            </w:pPr>
            <w:r>
              <w:t xml:space="preserve">Common boundary with industrial development</w:t>
            </w:r>
          </w:p>
        </w:tc>
        <w:tc>
          <w:tcPr/>
          <w:p>
            <w:pPr>
              <w:pStyle w:val="Compact"/>
              <w:numPr>
                <w:ilvl w:val="0"/>
                <w:numId w:val="1001"/>
              </w:numPr>
              <w:jc w:val="left"/>
            </w:pPr>
            <w:r>
              <w:t xml:space="preserve">No setback requirement (see note below).</w:t>
            </w:r>
          </w:p>
          <w:p>
            <w:pPr>
              <w:pStyle w:val="Compact"/>
              <w:numPr>
                <w:ilvl w:val="0"/>
                <w:numId w:val="1001"/>
              </w:numPr>
              <w:jc w:val="left"/>
            </w:pPr>
            <w:r>
              <w:t xml:space="preserve">No openings along common boundary.</w:t>
            </w:r>
          </w:p>
        </w:tc>
      </w:tr>
      <w:tr>
        <w:tc>
          <w:tcPr/>
          <w:p>
            <w:pPr>
              <w:pStyle w:val="Compact"/>
              <w:jc w:val="left"/>
            </w:pPr>
            <w:r>
              <w:t xml:space="preserve">Common boundary with a Place of Worship</w:t>
            </w:r>
          </w:p>
        </w:tc>
        <w:tc>
          <w:tcPr/>
          <w:p>
            <w:pPr>
              <w:pStyle w:val="Compact"/>
              <w:jc w:val="left"/>
            </w:pPr>
            <w:r>
              <w:t xml:space="preserve">No setback (see note below)  is required at the common boundary between an industrial development and a Place of Worship (PW) development subject to the following conditions:</w:t>
            </w:r>
            <w:r>
              <w:br/>
            </w:r>
            <w:r>
              <w:br/>
            </w:r>
          </w:p>
          <w:p>
            <w:pPr>
              <w:pStyle w:val="Compact"/>
              <w:numPr>
                <w:ilvl w:val="0"/>
                <w:numId w:val="1002"/>
              </w:numPr>
              <w:jc w:val="left"/>
            </w:pPr>
            <w:r>
              <w:t xml:space="preserve">The sites are located well within the industrial estate and not next to a Reserve site or other non-industrial developments;</w:t>
            </w:r>
          </w:p>
          <w:p>
            <w:pPr>
              <w:pStyle w:val="Compact"/>
              <w:numPr>
                <w:ilvl w:val="0"/>
                <w:numId w:val="1002"/>
              </w:numPr>
              <w:jc w:val="left"/>
            </w:pPr>
            <w:r>
              <w:t xml:space="preserve">No openings along common boundary; and</w:t>
            </w:r>
          </w:p>
          <w:p>
            <w:pPr>
              <w:pStyle w:val="Compact"/>
              <w:numPr>
                <w:ilvl w:val="0"/>
                <w:numId w:val="1002"/>
              </w:numPr>
              <w:jc w:val="left"/>
            </w:pPr>
            <w:r>
              <w:t xml:space="preserve">No adverse impact on the surrounding developments.</w:t>
            </w:r>
          </w:p>
        </w:tc>
      </w:tr>
    </w:tbl>
    <w:p>
      <w:pPr>
        <w:pStyle w:val="FirstParagraph"/>
      </w:pPr>
      <w:r>
        <w:br/>
      </w:r>
    </w:p>
    <w:p>
      <w:pPr>
        <w:pStyle w:val="BodyText"/>
      </w:pPr>
      <w:r>
        <w:rPr>
          <w:b/>
          <w:bCs/>
          <w:i/>
          <w:iCs/>
        </w:rPr>
        <w:t xml:space="preserve">Note</w:t>
      </w:r>
      <w:r>
        <w:rPr>
          <w:i/>
          <w:iCs/>
        </w:rPr>
        <w:t xml:space="preserve">: Where a building is proposed to abut the common boundary, measures shall be put in place to facilitate down-stream building maintenance at the common boundary.</w:t>
      </w:r>
    </w:p>
    <w:bookmarkStart w:id="26" w:name="Table-21"/>
    <w:bookmarkEnd w:id="26"/>
    <w:bookmarkEnd w:id="27"/>
    <w:p>
      <w:pPr>
        <w:pStyle w:val="BodyText"/>
      </w:pPr>
      <w:hyperlink w:anchor="Building-Appendages"/>
    </w:p>
    <w:p>
      <w:pPr>
        <w:pStyle w:val="BodyText"/>
      </w:pPr>
      <w:r>
        <w:t xml:space="preserve">Table 3: Setback for Building Appendages</w:t>
      </w:r>
    </w:p>
    <w:bookmarkStart w:id="29" w:name="Building-Appendages"/>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Roof eaves</w:t>
            </w:r>
          </w:p>
        </w:tc>
        <w:tc>
          <w:tcPr>
            <w:vMerge w:val="restart"/>
          </w:tcPr>
          <w:p>
            <w:pPr>
              <w:pStyle w:val="Compact"/>
              <w:jc w:val="center"/>
            </w:pPr>
            <w:r>
              <w:t xml:space="preserve">Allowed, provided it is not within the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Sun-shading devices &amp; RC ledges (cantilevered)</w:t>
            </w:r>
          </w:p>
        </w:tc>
        <w:tc>
          <w:tcPr>
            <w:gridSpan w:val="1"/>
            <w:vMerge w:val="continue"/>
          </w:tcPr>
          <w:p>
            <w:pPr/>
          </w:p>
        </w:tc>
        <w:tc>
          <w:tcPr>
            <w:gridSpan w:val="1"/>
            <w:vMerge w:val="continue"/>
          </w:tcPr>
          <w:p>
            <w:pPr/>
          </w:p>
        </w:tc>
      </w:tr>
    </w:tbl>
    <w:bookmarkStart w:id="28" w:name="Building-Appendages1"/>
    <w:bookmarkEnd w:id="28"/>
    <w:bookmarkEnd w:id="29"/>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Industrial/B101_Road_Buffer_Setback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Industrial/B101_Road_Buffer_Setback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2024-05-23T09:31:07Z</dcterms:created>
  <dcterms:modified xsi:type="dcterms:W3CDTF">2024-05-23T09:31:07Z</dcterms:modified>
</cp:coreProperties>
</file>

<file path=docProps/custom.xml><?xml version="1.0" encoding="utf-8"?>
<Properties xmlns="http://schemas.openxmlformats.org/officeDocument/2006/custom-properties" xmlns:vt="http://schemas.openxmlformats.org/officeDocument/2006/docPropsVTypes"/>
</file>